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48" w:rsidRDefault="00C43048" w:rsidP="000D347E">
      <w:pPr>
        <w:spacing w:after="0" w:line="240" w:lineRule="auto"/>
        <w:contextualSpacing/>
        <w:rPr>
          <w:rFonts w:cs="Arial"/>
          <w:b/>
          <w:bCs/>
          <w:sz w:val="24"/>
          <w:szCs w:val="24"/>
        </w:rPr>
      </w:pPr>
    </w:p>
    <w:p w:rsidR="004F74C4" w:rsidRDefault="004F74C4" w:rsidP="000D347E">
      <w:p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Bei der Zubereitung von Mischinfusionen ist zu beachten, dass auch bei optimaler hygienischer Arbeitsweise ein Eintrag von Mikroorganismen nicht immer ausgeschlossen werden kann. Innerhalb weniger Stunden können sich Mikroorganismen unter günstigen Bedingungen, insbesondere in Lösungen ohne Konservierungsstoffe, so  vermehren, dass eine Infektionsgefährdung resultieren kann. Ist die Zubereitung von Mischinfusionen in patientennahen Bereichen unvermeidbar, so muss sie daher unter kontrolliert aseptischen Bedingungen erfolgen.</w:t>
      </w:r>
    </w:p>
    <w:p w:rsidR="00BA2EDE" w:rsidRDefault="00BA2EDE" w:rsidP="000D347E">
      <w:pPr>
        <w:autoSpaceDE w:val="0"/>
        <w:autoSpaceDN w:val="0"/>
        <w:adjustRightInd w:val="0"/>
        <w:spacing w:after="0" w:line="240" w:lineRule="auto"/>
        <w:contextualSpacing/>
        <w:rPr>
          <w:rFonts w:ascii="Calibri" w:hAnsi="Calibri" w:cs="Calibri"/>
          <w:color w:val="231F20"/>
          <w:sz w:val="24"/>
          <w:szCs w:val="24"/>
          <w:lang w:val="de"/>
        </w:rPr>
      </w:pPr>
    </w:p>
    <w:p w:rsidR="004F74C4" w:rsidRDefault="004F74C4" w:rsidP="000D347E">
      <w:p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Dies bedeutet:</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Zubereitung durch geschultes Personal, das regelmäßig in hygienischen Arbeitstechniken geschult wird.</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000000"/>
          <w:sz w:val="24"/>
          <w:szCs w:val="24"/>
          <w:lang w:val="de"/>
        </w:rPr>
        <w:t>Die Zubereitung von Medikamenten zur Injekt</w:t>
      </w:r>
      <w:r w:rsidR="00F11757">
        <w:rPr>
          <w:rFonts w:ascii="Calibri" w:hAnsi="Calibri" w:cs="Calibri"/>
          <w:color w:val="000000"/>
          <w:sz w:val="24"/>
          <w:szCs w:val="24"/>
          <w:lang w:val="de"/>
        </w:rPr>
        <w:t>ion soll unmittelbar vor der ge</w:t>
      </w:r>
      <w:r>
        <w:rPr>
          <w:rFonts w:ascii="Calibri" w:hAnsi="Calibri" w:cs="Calibri"/>
          <w:color w:val="000000"/>
          <w:sz w:val="24"/>
          <w:szCs w:val="24"/>
          <w:lang w:val="de"/>
        </w:rPr>
        <w:t>planten Applikation erfolgen.</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Hände und Arbeitsflächen werden desinfiziert.</w:t>
      </w:r>
    </w:p>
    <w:p w:rsidR="009C2A91" w:rsidRDefault="009C2A91"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sz w:val="24"/>
          <w:szCs w:val="24"/>
          <w:lang w:val="de"/>
        </w:rPr>
        <w:t>Sachgerechte Entnahme von Zubehör aus der Verpackung (Peeling, kein Durchdrücken durch das Papier)</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 xml:space="preserve">Vorbereitung der Injektionslösungen und Mischinfusionen unter kontrollierten aseptischen Bedingungen außerhalb des </w:t>
      </w:r>
      <w:r w:rsidR="00F11757">
        <w:rPr>
          <w:rFonts w:ascii="Calibri" w:hAnsi="Calibri" w:cs="Calibri"/>
          <w:color w:val="231F20"/>
          <w:sz w:val="24"/>
          <w:szCs w:val="24"/>
          <w:lang w:val="de"/>
        </w:rPr>
        <w:t>pa</w:t>
      </w:r>
      <w:r>
        <w:rPr>
          <w:rFonts w:ascii="Calibri" w:hAnsi="Calibri" w:cs="Calibri"/>
          <w:color w:val="231F20"/>
          <w:sz w:val="24"/>
          <w:szCs w:val="24"/>
          <w:lang w:val="de"/>
        </w:rPr>
        <w:t>tientennahen Bereiches.</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Injektions- bzw. Infusionsflaschen und Ampullen werden durch Sichtprüfung auf Verfärbungen, Trübungen und Defekte überprüft und sind bei Auffälligkeiten zu verwerfen.</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231F20"/>
          <w:sz w:val="24"/>
          <w:szCs w:val="24"/>
          <w:lang w:val="de"/>
        </w:rPr>
        <w:t>Die Angaben des Arzneimittelherstellers sind zu beachten. Die vom Hersteller angegebenen Trägerlösungen sind zu verwenden. Zugemischte Arzneimittel sind mit vollständiger Bezeichnung, Menge und Konzentration auf der Infusionsflasche bzw. dem -beutel zu vermerken.</w:t>
      </w:r>
    </w:p>
    <w:p w:rsidR="004F74C4" w:rsidRDefault="004F74C4" w:rsidP="005D4EE8">
      <w:pPr>
        <w:numPr>
          <w:ilvl w:val="0"/>
          <w:numId w:val="3"/>
        </w:numPr>
        <w:autoSpaceDE w:val="0"/>
        <w:autoSpaceDN w:val="0"/>
        <w:adjustRightInd w:val="0"/>
        <w:spacing w:after="0" w:line="240" w:lineRule="auto"/>
        <w:contextualSpacing/>
        <w:rPr>
          <w:rFonts w:ascii="Calibri" w:hAnsi="Calibri" w:cs="Calibri"/>
          <w:color w:val="231F20"/>
          <w:sz w:val="24"/>
          <w:szCs w:val="24"/>
          <w:lang w:val="de"/>
        </w:rPr>
      </w:pPr>
      <w:r>
        <w:rPr>
          <w:rFonts w:ascii="Calibri" w:hAnsi="Calibri" w:cs="Calibri"/>
          <w:color w:val="000000"/>
          <w:sz w:val="24"/>
          <w:szCs w:val="24"/>
          <w:lang w:val="de"/>
        </w:rPr>
        <w:t xml:space="preserve">Das </w:t>
      </w:r>
      <w:proofErr w:type="spellStart"/>
      <w:r>
        <w:rPr>
          <w:rFonts w:ascii="Calibri" w:hAnsi="Calibri" w:cs="Calibri"/>
          <w:color w:val="000000"/>
          <w:sz w:val="24"/>
          <w:szCs w:val="24"/>
          <w:lang w:val="de"/>
        </w:rPr>
        <w:t>Gummiseptum</w:t>
      </w:r>
      <w:proofErr w:type="spellEnd"/>
      <w:r>
        <w:rPr>
          <w:rFonts w:ascii="Calibri" w:hAnsi="Calibri" w:cs="Calibri"/>
          <w:color w:val="000000"/>
          <w:sz w:val="24"/>
          <w:szCs w:val="24"/>
          <w:lang w:val="de"/>
        </w:rPr>
        <w:t xml:space="preserve"> von Injektions- und Infus</w:t>
      </w:r>
      <w:r w:rsidR="00F11757">
        <w:rPr>
          <w:rFonts w:ascii="Calibri" w:hAnsi="Calibri" w:cs="Calibri"/>
          <w:color w:val="000000"/>
          <w:sz w:val="24"/>
          <w:szCs w:val="24"/>
          <w:lang w:val="de"/>
        </w:rPr>
        <w:t>ionsflaschen ist vor dem Einfüh</w:t>
      </w:r>
      <w:r>
        <w:rPr>
          <w:rFonts w:ascii="Calibri" w:hAnsi="Calibri" w:cs="Calibri"/>
          <w:color w:val="000000"/>
          <w:sz w:val="24"/>
          <w:szCs w:val="24"/>
          <w:lang w:val="de"/>
        </w:rPr>
        <w:t xml:space="preserve">ren </w:t>
      </w:r>
      <w:r w:rsidR="00F11757">
        <w:rPr>
          <w:rFonts w:ascii="Calibri" w:hAnsi="Calibri" w:cs="Calibri"/>
          <w:color w:val="000000"/>
          <w:sz w:val="24"/>
          <w:szCs w:val="24"/>
          <w:lang w:val="de"/>
        </w:rPr>
        <w:t>einer Kanüle mit einem alkoholi</w:t>
      </w:r>
      <w:r>
        <w:rPr>
          <w:rFonts w:ascii="Calibri" w:hAnsi="Calibri" w:cs="Calibri"/>
          <w:color w:val="000000"/>
          <w:sz w:val="24"/>
          <w:szCs w:val="24"/>
          <w:lang w:val="de"/>
        </w:rPr>
        <w:t>schen De</w:t>
      </w:r>
      <w:r w:rsidR="00F11757">
        <w:rPr>
          <w:rFonts w:ascii="Calibri" w:hAnsi="Calibri" w:cs="Calibri"/>
          <w:color w:val="000000"/>
          <w:sz w:val="24"/>
          <w:szCs w:val="24"/>
          <w:lang w:val="de"/>
        </w:rPr>
        <w:t>sinfektionsmittel zu desinfizie</w:t>
      </w:r>
      <w:r>
        <w:rPr>
          <w:rFonts w:ascii="Calibri" w:hAnsi="Calibri" w:cs="Calibri"/>
          <w:color w:val="000000"/>
          <w:sz w:val="24"/>
          <w:szCs w:val="24"/>
          <w:lang w:val="de"/>
        </w:rPr>
        <w:t>ren.</w:t>
      </w:r>
      <w:r w:rsidR="00F11757">
        <w:rPr>
          <w:rFonts w:ascii="Calibri" w:hAnsi="Calibri" w:cs="Calibri"/>
          <w:color w:val="000000"/>
          <w:sz w:val="24"/>
          <w:szCs w:val="24"/>
          <w:lang w:val="de"/>
        </w:rPr>
        <w:t xml:space="preserve"> Eine Ausnahme stellen </w:t>
      </w:r>
      <w:proofErr w:type="spellStart"/>
      <w:r w:rsidR="00F11757">
        <w:rPr>
          <w:rFonts w:ascii="Calibri" w:hAnsi="Calibri" w:cs="Calibri"/>
          <w:color w:val="000000"/>
          <w:sz w:val="24"/>
          <w:szCs w:val="24"/>
          <w:lang w:val="de"/>
        </w:rPr>
        <w:t>Gummisep</w:t>
      </w:r>
      <w:r>
        <w:rPr>
          <w:rFonts w:ascii="Calibri" w:hAnsi="Calibri" w:cs="Calibri"/>
          <w:color w:val="000000"/>
          <w:sz w:val="24"/>
          <w:szCs w:val="24"/>
          <w:lang w:val="de"/>
        </w:rPr>
        <w:t>ten</w:t>
      </w:r>
      <w:proofErr w:type="spellEnd"/>
      <w:r>
        <w:rPr>
          <w:rFonts w:ascii="Calibri" w:hAnsi="Calibri" w:cs="Calibri"/>
          <w:color w:val="000000"/>
          <w:sz w:val="24"/>
          <w:szCs w:val="24"/>
          <w:lang w:val="de"/>
        </w:rPr>
        <w:t xml:space="preserve"> dar, b</w:t>
      </w:r>
      <w:r w:rsidR="00F11757">
        <w:rPr>
          <w:rFonts w:ascii="Calibri" w:hAnsi="Calibri" w:cs="Calibri"/>
          <w:color w:val="000000"/>
          <w:sz w:val="24"/>
          <w:szCs w:val="24"/>
          <w:lang w:val="de"/>
        </w:rPr>
        <w:t>ei denen der Hersteller die Ste</w:t>
      </w:r>
      <w:r>
        <w:rPr>
          <w:rFonts w:ascii="Calibri" w:hAnsi="Calibri" w:cs="Calibri"/>
          <w:color w:val="000000"/>
          <w:sz w:val="24"/>
          <w:szCs w:val="24"/>
          <w:lang w:val="de"/>
        </w:rPr>
        <w:t>rilität unter der Abdeckung garantiert.</w:t>
      </w:r>
    </w:p>
    <w:p w:rsidR="004F74C4" w:rsidRPr="00CE6B6D" w:rsidRDefault="00CE6B6D" w:rsidP="00CE6B6D">
      <w:pPr>
        <w:pStyle w:val="Listenabsatz"/>
        <w:numPr>
          <w:ilvl w:val="0"/>
          <w:numId w:val="15"/>
        </w:numPr>
        <w:spacing w:after="0" w:line="240" w:lineRule="auto"/>
        <w:rPr>
          <w:rFonts w:cs="Arial"/>
          <w:b/>
          <w:bCs/>
          <w:sz w:val="24"/>
          <w:szCs w:val="24"/>
          <w:lang w:val="de"/>
        </w:rPr>
      </w:pPr>
      <w:bookmarkStart w:id="0" w:name="_GoBack"/>
      <w:bookmarkEnd w:id="0"/>
      <w:r w:rsidRPr="00CE6B6D">
        <w:rPr>
          <w:rFonts w:cs="Arial"/>
          <w:b/>
          <w:bCs/>
          <w:sz w:val="24"/>
          <w:szCs w:val="24"/>
          <w:lang w:val="de"/>
        </w:rPr>
        <w:t>Mehrdosenbehältnisse dürfen gemäß der aktualisierten KRINKO-Empfehlungen  (Stand 2/2017) grundsätzlich nicht mehr verwendet werden!</w:t>
      </w:r>
    </w:p>
    <w:sectPr w:rsidR="004F74C4" w:rsidRPr="00CE6B6D" w:rsidSect="00E876A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9E" w:rsidRDefault="00204B9E" w:rsidP="00204B9E">
      <w:pPr>
        <w:spacing w:after="0" w:line="240" w:lineRule="auto"/>
      </w:pPr>
      <w:r>
        <w:separator/>
      </w:r>
    </w:p>
  </w:endnote>
  <w:endnote w:type="continuationSeparator" w:id="0">
    <w:p w:rsidR="00204B9E" w:rsidRDefault="00204B9E" w:rsidP="0020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0B" w:rsidRDefault="001251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E876AA" w:rsidRPr="004B7A84" w:rsidTr="00442AE4">
      <w:tc>
        <w:tcPr>
          <w:tcW w:w="3070" w:type="dxa"/>
          <w:vAlign w:val="center"/>
        </w:tcPr>
        <w:p w:rsidR="00E876AA" w:rsidRPr="00C03F9F" w:rsidRDefault="00E876AA" w:rsidP="00442AE4">
          <w:pPr>
            <w:pStyle w:val="Fuzeile"/>
            <w:jc w:val="center"/>
            <w:rPr>
              <w:sz w:val="18"/>
            </w:rPr>
          </w:pPr>
          <w:r w:rsidRPr="00C03F9F">
            <w:rPr>
              <w:sz w:val="18"/>
            </w:rPr>
            <w:t>Hygieneplan</w:t>
          </w:r>
        </w:p>
      </w:tc>
      <w:tc>
        <w:tcPr>
          <w:tcW w:w="6142" w:type="dxa"/>
          <w:gridSpan w:val="2"/>
          <w:vAlign w:val="center"/>
        </w:tcPr>
        <w:p w:rsidR="00E876AA" w:rsidRPr="00C03F9F" w:rsidRDefault="00E876AA" w:rsidP="00442AE4">
          <w:pPr>
            <w:pStyle w:val="Fuzeile"/>
            <w:jc w:val="center"/>
            <w:rPr>
              <w:sz w:val="18"/>
            </w:rPr>
          </w:pPr>
          <w:r>
            <w:rPr>
              <w:rFonts w:cs="Arial"/>
              <w:sz w:val="18"/>
            </w:rPr>
            <w:t>Haut- und Schleimhautantiseptik</w:t>
          </w:r>
        </w:p>
      </w:tc>
    </w:tr>
    <w:tr w:rsidR="00E876AA" w:rsidRPr="004B7A84" w:rsidTr="00442AE4">
      <w:tc>
        <w:tcPr>
          <w:tcW w:w="3070" w:type="dxa"/>
          <w:vAlign w:val="center"/>
        </w:tcPr>
        <w:p w:rsidR="00E876AA" w:rsidRPr="00C03F9F" w:rsidRDefault="00E876AA" w:rsidP="00442AE4">
          <w:pPr>
            <w:pStyle w:val="Fuzeile"/>
            <w:jc w:val="center"/>
            <w:rPr>
              <w:sz w:val="18"/>
            </w:rPr>
          </w:pPr>
          <w:r w:rsidRPr="00C03F9F">
            <w:rPr>
              <w:sz w:val="18"/>
            </w:rPr>
            <w:t>Erstellt von</w:t>
          </w:r>
        </w:p>
      </w:tc>
      <w:tc>
        <w:tcPr>
          <w:tcW w:w="3071" w:type="dxa"/>
          <w:vAlign w:val="center"/>
        </w:tcPr>
        <w:p w:rsidR="00E876AA" w:rsidRPr="00C03F9F" w:rsidRDefault="00E876AA" w:rsidP="00442AE4">
          <w:pPr>
            <w:pStyle w:val="Fuzeile"/>
            <w:jc w:val="center"/>
            <w:rPr>
              <w:b/>
              <w:color w:val="FF0000"/>
              <w:sz w:val="18"/>
            </w:rPr>
          </w:pPr>
          <w:r w:rsidRPr="00C03F9F">
            <w:rPr>
              <w:b/>
              <w:color w:val="FF0000"/>
              <w:sz w:val="18"/>
            </w:rPr>
            <w:t>NAME</w:t>
          </w:r>
        </w:p>
      </w:tc>
      <w:tc>
        <w:tcPr>
          <w:tcW w:w="3071" w:type="dxa"/>
          <w:vAlign w:val="center"/>
        </w:tcPr>
        <w:p w:rsidR="00E876AA" w:rsidRPr="00C03F9F" w:rsidRDefault="00E876AA" w:rsidP="00442AE4">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BA2EDE">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394C4A">
            <w:rPr>
              <w:b/>
              <w:noProof/>
              <w:sz w:val="18"/>
            </w:rPr>
            <w:t>1</w:t>
          </w:r>
          <w:r w:rsidRPr="00C03F9F">
            <w:rPr>
              <w:b/>
              <w:sz w:val="18"/>
            </w:rPr>
            <w:fldChar w:fldCharType="end"/>
          </w:r>
        </w:p>
      </w:tc>
    </w:tr>
    <w:tr w:rsidR="00E876AA" w:rsidRPr="004B7A84" w:rsidTr="00442AE4">
      <w:tc>
        <w:tcPr>
          <w:tcW w:w="3070" w:type="dxa"/>
          <w:vAlign w:val="center"/>
        </w:tcPr>
        <w:p w:rsidR="00E876AA" w:rsidRPr="00C03F9F" w:rsidRDefault="00E876AA" w:rsidP="00442AE4">
          <w:pPr>
            <w:pStyle w:val="Fuzeile"/>
            <w:jc w:val="center"/>
            <w:rPr>
              <w:sz w:val="18"/>
            </w:rPr>
          </w:pPr>
          <w:r w:rsidRPr="00C03F9F">
            <w:rPr>
              <w:sz w:val="18"/>
            </w:rPr>
            <w:t>Geprüft/freigegeben von</w:t>
          </w:r>
        </w:p>
      </w:tc>
      <w:tc>
        <w:tcPr>
          <w:tcW w:w="3071" w:type="dxa"/>
          <w:vAlign w:val="center"/>
        </w:tcPr>
        <w:p w:rsidR="00E876AA" w:rsidRPr="00C03F9F" w:rsidRDefault="00E876AA" w:rsidP="00442AE4">
          <w:pPr>
            <w:pStyle w:val="Fuzeile"/>
            <w:jc w:val="center"/>
            <w:rPr>
              <w:b/>
              <w:color w:val="FF0000"/>
              <w:sz w:val="18"/>
            </w:rPr>
          </w:pPr>
          <w:r w:rsidRPr="00C03F9F">
            <w:rPr>
              <w:b/>
              <w:color w:val="FF0000"/>
              <w:sz w:val="18"/>
            </w:rPr>
            <w:t>NAME</w:t>
          </w:r>
        </w:p>
      </w:tc>
      <w:tc>
        <w:tcPr>
          <w:tcW w:w="3071" w:type="dxa"/>
          <w:vAlign w:val="center"/>
        </w:tcPr>
        <w:p w:rsidR="00E876AA" w:rsidRPr="00C03F9F" w:rsidRDefault="00E876AA" w:rsidP="00442AE4">
          <w:pPr>
            <w:pStyle w:val="Fuzeile"/>
            <w:jc w:val="center"/>
            <w:rPr>
              <w:sz w:val="18"/>
            </w:rPr>
          </w:pPr>
          <w:r w:rsidRPr="00C03F9F">
            <w:rPr>
              <w:sz w:val="18"/>
            </w:rPr>
            <w:t xml:space="preserve">Stand: </w:t>
          </w:r>
          <w:r w:rsidRPr="00C03F9F">
            <w:rPr>
              <w:b/>
              <w:color w:val="FF0000"/>
              <w:sz w:val="18"/>
            </w:rPr>
            <w:t>DATUM</w:t>
          </w:r>
        </w:p>
      </w:tc>
    </w:tr>
  </w:tbl>
  <w:p w:rsidR="00E876AA" w:rsidRDefault="00E876A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Look w:val="04A0" w:firstRow="1" w:lastRow="0" w:firstColumn="1" w:lastColumn="0" w:noHBand="0" w:noVBand="1"/>
    </w:tblPr>
    <w:tblGrid>
      <w:gridCol w:w="3070"/>
      <w:gridCol w:w="3071"/>
      <w:gridCol w:w="3071"/>
    </w:tblGrid>
    <w:tr w:rsidR="00E876AA" w:rsidRPr="004B7A84" w:rsidTr="00442AE4">
      <w:tc>
        <w:tcPr>
          <w:tcW w:w="3070" w:type="dxa"/>
          <w:vAlign w:val="center"/>
        </w:tcPr>
        <w:p w:rsidR="00E876AA" w:rsidRPr="00C03F9F" w:rsidRDefault="00E876AA" w:rsidP="00442AE4">
          <w:pPr>
            <w:pStyle w:val="Fuzeile"/>
            <w:jc w:val="center"/>
            <w:rPr>
              <w:sz w:val="18"/>
            </w:rPr>
          </w:pPr>
          <w:r w:rsidRPr="00C03F9F">
            <w:rPr>
              <w:sz w:val="18"/>
            </w:rPr>
            <w:t>Hygieneplan</w:t>
          </w:r>
        </w:p>
      </w:tc>
      <w:tc>
        <w:tcPr>
          <w:tcW w:w="6142" w:type="dxa"/>
          <w:gridSpan w:val="2"/>
          <w:vAlign w:val="center"/>
        </w:tcPr>
        <w:p w:rsidR="00E876AA" w:rsidRPr="00C03F9F" w:rsidRDefault="00BA2EDE" w:rsidP="00442AE4">
          <w:pPr>
            <w:pStyle w:val="Fuzeile"/>
            <w:jc w:val="center"/>
            <w:rPr>
              <w:sz w:val="18"/>
            </w:rPr>
          </w:pPr>
          <w:r>
            <w:rPr>
              <w:rFonts w:cs="Arial"/>
              <w:sz w:val="18"/>
            </w:rPr>
            <w:t>Zubereitung Infusionslösungen/Mischinfusionen</w:t>
          </w:r>
        </w:p>
      </w:tc>
    </w:tr>
    <w:tr w:rsidR="006C46B3" w:rsidRPr="004B7A84" w:rsidTr="00442AE4">
      <w:tc>
        <w:tcPr>
          <w:tcW w:w="3070" w:type="dxa"/>
          <w:vMerge w:val="restart"/>
          <w:vAlign w:val="center"/>
        </w:tcPr>
        <w:p w:rsidR="006C46B3" w:rsidRPr="00C03F9F" w:rsidRDefault="0012510B" w:rsidP="00442AE4">
          <w:pPr>
            <w:pStyle w:val="Fuzeile"/>
            <w:jc w:val="center"/>
            <w:rPr>
              <w:sz w:val="18"/>
            </w:rPr>
          </w:pPr>
          <w:r>
            <w:rPr>
              <w:sz w:val="18"/>
            </w:rPr>
            <w:t>Freigabe/ in Kraft gesetzt</w:t>
          </w:r>
        </w:p>
      </w:tc>
      <w:tc>
        <w:tcPr>
          <w:tcW w:w="3071" w:type="dxa"/>
          <w:vMerge w:val="restart"/>
          <w:vAlign w:val="center"/>
        </w:tcPr>
        <w:p w:rsidR="006C46B3" w:rsidRPr="00C03F9F" w:rsidRDefault="006C46B3" w:rsidP="00442AE4">
          <w:pPr>
            <w:pStyle w:val="Fuzeile"/>
            <w:jc w:val="center"/>
            <w:rPr>
              <w:b/>
              <w:color w:val="FF0000"/>
              <w:sz w:val="18"/>
            </w:rPr>
          </w:pPr>
          <w:r w:rsidRPr="00C03F9F">
            <w:rPr>
              <w:b/>
              <w:color w:val="FF0000"/>
              <w:sz w:val="18"/>
            </w:rPr>
            <w:t>NAME</w:t>
          </w:r>
        </w:p>
      </w:tc>
      <w:tc>
        <w:tcPr>
          <w:tcW w:w="3071" w:type="dxa"/>
          <w:vAlign w:val="center"/>
        </w:tcPr>
        <w:p w:rsidR="006C46B3" w:rsidRPr="00C03F9F" w:rsidRDefault="006C46B3" w:rsidP="00442AE4">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F11757">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F11757">
            <w:rPr>
              <w:b/>
              <w:noProof/>
              <w:sz w:val="18"/>
            </w:rPr>
            <w:t>1</w:t>
          </w:r>
          <w:r w:rsidRPr="00C03F9F">
            <w:rPr>
              <w:b/>
              <w:sz w:val="18"/>
            </w:rPr>
            <w:fldChar w:fldCharType="end"/>
          </w:r>
        </w:p>
      </w:tc>
    </w:tr>
    <w:tr w:rsidR="006C46B3" w:rsidRPr="004B7A84" w:rsidTr="00442AE4">
      <w:tc>
        <w:tcPr>
          <w:tcW w:w="3070" w:type="dxa"/>
          <w:vMerge/>
          <w:vAlign w:val="center"/>
        </w:tcPr>
        <w:p w:rsidR="006C46B3" w:rsidRPr="00C03F9F" w:rsidRDefault="006C46B3" w:rsidP="00442AE4">
          <w:pPr>
            <w:pStyle w:val="Fuzeile"/>
            <w:jc w:val="center"/>
            <w:rPr>
              <w:sz w:val="18"/>
            </w:rPr>
          </w:pPr>
        </w:p>
      </w:tc>
      <w:tc>
        <w:tcPr>
          <w:tcW w:w="3071" w:type="dxa"/>
          <w:vMerge/>
          <w:vAlign w:val="center"/>
        </w:tcPr>
        <w:p w:rsidR="006C46B3" w:rsidRPr="00C03F9F" w:rsidRDefault="006C46B3" w:rsidP="00442AE4">
          <w:pPr>
            <w:pStyle w:val="Fuzeile"/>
            <w:jc w:val="center"/>
            <w:rPr>
              <w:b/>
              <w:color w:val="FF0000"/>
              <w:sz w:val="18"/>
            </w:rPr>
          </w:pPr>
        </w:p>
      </w:tc>
      <w:tc>
        <w:tcPr>
          <w:tcW w:w="3071" w:type="dxa"/>
          <w:vAlign w:val="center"/>
        </w:tcPr>
        <w:p w:rsidR="006C46B3" w:rsidRPr="00C03F9F" w:rsidRDefault="006C46B3" w:rsidP="00442AE4">
          <w:pPr>
            <w:pStyle w:val="Fuzeile"/>
            <w:jc w:val="center"/>
            <w:rPr>
              <w:sz w:val="18"/>
            </w:rPr>
          </w:pPr>
          <w:r w:rsidRPr="00C03F9F">
            <w:rPr>
              <w:sz w:val="18"/>
            </w:rPr>
            <w:t xml:space="preserve">Stand: </w:t>
          </w:r>
          <w:r w:rsidRPr="00C03F9F">
            <w:rPr>
              <w:b/>
              <w:color w:val="FF0000"/>
              <w:sz w:val="18"/>
            </w:rPr>
            <w:t>DATUM</w:t>
          </w:r>
        </w:p>
      </w:tc>
    </w:tr>
  </w:tbl>
  <w:p w:rsidR="00E876AA" w:rsidRDefault="00E876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9E" w:rsidRDefault="00204B9E" w:rsidP="00204B9E">
      <w:pPr>
        <w:spacing w:after="0" w:line="240" w:lineRule="auto"/>
      </w:pPr>
      <w:r>
        <w:separator/>
      </w:r>
    </w:p>
  </w:footnote>
  <w:footnote w:type="continuationSeparator" w:id="0">
    <w:p w:rsidR="00204B9E" w:rsidRDefault="00204B9E" w:rsidP="00204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0B" w:rsidRDefault="001251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84"/>
      <w:gridCol w:w="2016"/>
    </w:tblGrid>
    <w:tr w:rsidR="00E876AA" w:rsidTr="00442AE4">
      <w:tc>
        <w:tcPr>
          <w:tcW w:w="6912" w:type="dxa"/>
          <w:vAlign w:val="center"/>
        </w:tcPr>
        <w:p w:rsidR="00E876AA" w:rsidRDefault="00E876AA" w:rsidP="00442AE4">
          <w:pPr>
            <w:pStyle w:val="Kopfzeile"/>
            <w:jc w:val="center"/>
          </w:pPr>
        </w:p>
      </w:tc>
      <w:tc>
        <w:tcPr>
          <w:tcW w:w="284" w:type="dxa"/>
          <w:vAlign w:val="center"/>
        </w:tcPr>
        <w:p w:rsidR="00E876AA" w:rsidRDefault="00E876AA" w:rsidP="00442AE4">
          <w:pPr>
            <w:pStyle w:val="Kopfzeile"/>
            <w:jc w:val="center"/>
          </w:pPr>
        </w:p>
      </w:tc>
      <w:tc>
        <w:tcPr>
          <w:tcW w:w="2016" w:type="dxa"/>
          <w:vAlign w:val="center"/>
        </w:tcPr>
        <w:p w:rsidR="00E876AA" w:rsidRDefault="00E876AA" w:rsidP="00442AE4">
          <w:pPr>
            <w:pStyle w:val="Kopfzeile"/>
            <w:jc w:val="center"/>
          </w:pPr>
        </w:p>
      </w:tc>
    </w:tr>
  </w:tbl>
  <w:p w:rsidR="00E876AA" w:rsidRDefault="00E876A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E876AA" w:rsidTr="00E876AA">
      <w:tc>
        <w:tcPr>
          <w:tcW w:w="7479" w:type="dxa"/>
          <w:vAlign w:val="center"/>
        </w:tcPr>
        <w:p w:rsidR="00E876AA" w:rsidRDefault="00E876AA" w:rsidP="00442AE4">
          <w:pPr>
            <w:pStyle w:val="Kopfzeile"/>
            <w:jc w:val="center"/>
          </w:pPr>
        </w:p>
        <w:p w:rsidR="00BA2EDE" w:rsidRPr="00BA2EDE" w:rsidRDefault="00BA2EDE" w:rsidP="00BA2EDE">
          <w:pPr>
            <w:contextualSpacing/>
            <w:rPr>
              <w:rFonts w:cs="Arial"/>
              <w:b/>
              <w:bCs/>
              <w:sz w:val="28"/>
              <w:szCs w:val="24"/>
            </w:rPr>
          </w:pPr>
          <w:r w:rsidRPr="00BA2EDE">
            <w:rPr>
              <w:rFonts w:cs="Arial"/>
              <w:b/>
              <w:bCs/>
              <w:sz w:val="28"/>
              <w:szCs w:val="24"/>
            </w:rPr>
            <w:t>Hygieneanforderungen an die Zubereitung von Injektionslösungen und Mischinfusionen</w:t>
          </w:r>
        </w:p>
        <w:p w:rsidR="00E876AA" w:rsidRDefault="00E876AA" w:rsidP="00442AE4">
          <w:pPr>
            <w:pStyle w:val="Kopfzeile"/>
            <w:jc w:val="center"/>
          </w:pPr>
        </w:p>
      </w:tc>
      <w:tc>
        <w:tcPr>
          <w:tcW w:w="284" w:type="dxa"/>
          <w:vAlign w:val="center"/>
        </w:tcPr>
        <w:p w:rsidR="00E876AA" w:rsidRDefault="00E876AA" w:rsidP="00442AE4">
          <w:pPr>
            <w:pStyle w:val="Kopfzeile"/>
            <w:jc w:val="center"/>
          </w:pPr>
        </w:p>
      </w:tc>
      <w:tc>
        <w:tcPr>
          <w:tcW w:w="2016" w:type="dxa"/>
          <w:vAlign w:val="center"/>
        </w:tcPr>
        <w:p w:rsidR="00E876AA" w:rsidRDefault="00E876AA" w:rsidP="00442AE4">
          <w:pPr>
            <w:pStyle w:val="Kopfzeile"/>
            <w:jc w:val="center"/>
            <w:rPr>
              <w:b/>
              <w:color w:val="FF0000"/>
            </w:rPr>
          </w:pPr>
          <w:r w:rsidRPr="0089081D">
            <w:rPr>
              <w:b/>
              <w:color w:val="FF0000"/>
            </w:rPr>
            <w:t>PRAXISLOGO</w:t>
          </w:r>
        </w:p>
        <w:p w:rsidR="00E876AA" w:rsidRPr="0089081D" w:rsidRDefault="00E876AA" w:rsidP="00442AE4">
          <w:pPr>
            <w:pStyle w:val="Kopfzeile"/>
            <w:jc w:val="center"/>
            <w:rPr>
              <w:b/>
              <w:color w:val="FF0000"/>
            </w:rPr>
          </w:pPr>
          <w:r>
            <w:rPr>
              <w:b/>
              <w:color w:val="FF0000"/>
            </w:rPr>
            <w:t>(oder Stempel)</w:t>
          </w:r>
        </w:p>
        <w:p w:rsidR="00E876AA" w:rsidRDefault="00E876AA" w:rsidP="00442AE4">
          <w:pPr>
            <w:pStyle w:val="Kopfzeile"/>
            <w:jc w:val="center"/>
          </w:pPr>
          <w:r w:rsidRPr="0089081D">
            <w:rPr>
              <w:b/>
              <w:color w:val="FF0000"/>
            </w:rPr>
            <w:t>EINFÜGEN</w:t>
          </w:r>
        </w:p>
      </w:tc>
    </w:tr>
  </w:tbl>
  <w:p w:rsidR="00E876AA" w:rsidRDefault="00E876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54A1FE"/>
    <w:lvl w:ilvl="0">
      <w:numFmt w:val="bullet"/>
      <w:lvlText w:val="*"/>
      <w:lvlJc w:val="left"/>
    </w:lvl>
  </w:abstractNum>
  <w:abstractNum w:abstractNumId="1">
    <w:nsid w:val="14B1106E"/>
    <w:multiLevelType w:val="hybridMultilevel"/>
    <w:tmpl w:val="FDFA0E8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CD6181"/>
    <w:multiLevelType w:val="hybridMultilevel"/>
    <w:tmpl w:val="9B966624"/>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A1D0DA4"/>
    <w:multiLevelType w:val="hybridMultilevel"/>
    <w:tmpl w:val="047EB6C8"/>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9250484"/>
    <w:multiLevelType w:val="hybridMultilevel"/>
    <w:tmpl w:val="DE3063E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A533815"/>
    <w:multiLevelType w:val="hybridMultilevel"/>
    <w:tmpl w:val="FFA29338"/>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01B7179"/>
    <w:multiLevelType w:val="hybridMultilevel"/>
    <w:tmpl w:val="0E64690C"/>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4BD3051"/>
    <w:multiLevelType w:val="hybridMultilevel"/>
    <w:tmpl w:val="93607206"/>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91C3D41"/>
    <w:multiLevelType w:val="hybridMultilevel"/>
    <w:tmpl w:val="337A36AE"/>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3D112C7"/>
    <w:multiLevelType w:val="hybridMultilevel"/>
    <w:tmpl w:val="A74E0DD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A40736A"/>
    <w:multiLevelType w:val="hybridMultilevel"/>
    <w:tmpl w:val="13669D72"/>
    <w:lvl w:ilvl="0" w:tplc="C36C957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6CF12AA9"/>
    <w:multiLevelType w:val="hybridMultilevel"/>
    <w:tmpl w:val="7D0A45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04F48A7"/>
    <w:multiLevelType w:val="hybridMultilevel"/>
    <w:tmpl w:val="F3B29404"/>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7D9151E"/>
    <w:multiLevelType w:val="hybridMultilevel"/>
    <w:tmpl w:val="A73E8AB8"/>
    <w:lvl w:ilvl="0" w:tplc="C36C9572">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DE17386"/>
    <w:multiLevelType w:val="hybridMultilevel"/>
    <w:tmpl w:val="6A84BD5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4"/>
  </w:num>
  <w:num w:numId="4">
    <w:abstractNumId w:val="8"/>
  </w:num>
  <w:num w:numId="5">
    <w:abstractNumId w:val="12"/>
  </w:num>
  <w:num w:numId="6">
    <w:abstractNumId w:val="7"/>
  </w:num>
  <w:num w:numId="7">
    <w:abstractNumId w:val="10"/>
  </w:num>
  <w:num w:numId="8">
    <w:abstractNumId w:val="2"/>
  </w:num>
  <w:num w:numId="9">
    <w:abstractNumId w:val="6"/>
  </w:num>
  <w:num w:numId="10">
    <w:abstractNumId w:val="13"/>
  </w:num>
  <w:num w:numId="11">
    <w:abstractNumId w:val="1"/>
  </w:num>
  <w:num w:numId="12">
    <w:abstractNumId w:val="11"/>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2"/>
    <w:rsid w:val="00025896"/>
    <w:rsid w:val="00083219"/>
    <w:rsid w:val="000D347E"/>
    <w:rsid w:val="0012510B"/>
    <w:rsid w:val="00185B18"/>
    <w:rsid w:val="001B6332"/>
    <w:rsid w:val="001D064A"/>
    <w:rsid w:val="001F2E15"/>
    <w:rsid w:val="001F4B1B"/>
    <w:rsid w:val="00204B9E"/>
    <w:rsid w:val="00214B17"/>
    <w:rsid w:val="002A15D7"/>
    <w:rsid w:val="002A411A"/>
    <w:rsid w:val="0032274C"/>
    <w:rsid w:val="00394C4A"/>
    <w:rsid w:val="00400323"/>
    <w:rsid w:val="00406269"/>
    <w:rsid w:val="004575A9"/>
    <w:rsid w:val="004F74C4"/>
    <w:rsid w:val="00571C35"/>
    <w:rsid w:val="00582F6F"/>
    <w:rsid w:val="005D4EE8"/>
    <w:rsid w:val="00646189"/>
    <w:rsid w:val="0066192F"/>
    <w:rsid w:val="006675FE"/>
    <w:rsid w:val="0067664C"/>
    <w:rsid w:val="006C46B3"/>
    <w:rsid w:val="007E4866"/>
    <w:rsid w:val="00841878"/>
    <w:rsid w:val="00882CD3"/>
    <w:rsid w:val="008E28A9"/>
    <w:rsid w:val="009246A8"/>
    <w:rsid w:val="009267AE"/>
    <w:rsid w:val="00984F6D"/>
    <w:rsid w:val="009957C0"/>
    <w:rsid w:val="009C2A91"/>
    <w:rsid w:val="009E2FBE"/>
    <w:rsid w:val="009F3881"/>
    <w:rsid w:val="00A2788F"/>
    <w:rsid w:val="00AE4DD7"/>
    <w:rsid w:val="00AE7F0E"/>
    <w:rsid w:val="00B57086"/>
    <w:rsid w:val="00B67752"/>
    <w:rsid w:val="00BA2EDE"/>
    <w:rsid w:val="00BB1427"/>
    <w:rsid w:val="00BB761F"/>
    <w:rsid w:val="00BC1C71"/>
    <w:rsid w:val="00BE1094"/>
    <w:rsid w:val="00C43048"/>
    <w:rsid w:val="00C76EE9"/>
    <w:rsid w:val="00CE6B6D"/>
    <w:rsid w:val="00DC642C"/>
    <w:rsid w:val="00E63BA5"/>
    <w:rsid w:val="00E876AA"/>
    <w:rsid w:val="00EE36BE"/>
    <w:rsid w:val="00F11757"/>
    <w:rsid w:val="00F20802"/>
    <w:rsid w:val="00F319D6"/>
    <w:rsid w:val="00F34FAE"/>
    <w:rsid w:val="00F51030"/>
    <w:rsid w:val="00F61741"/>
    <w:rsid w:val="00FF3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B9E"/>
  </w:style>
  <w:style w:type="paragraph" w:styleId="Fuzeile">
    <w:name w:val="footer"/>
    <w:basedOn w:val="Standard"/>
    <w:link w:val="FuzeileZchn"/>
    <w:uiPriority w:val="99"/>
    <w:unhideWhenUsed/>
    <w:rsid w:val="00204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B9E"/>
  </w:style>
  <w:style w:type="paragraph" w:styleId="Sprechblasentext">
    <w:name w:val="Balloon Text"/>
    <w:basedOn w:val="Standard"/>
    <w:link w:val="SprechblasentextZchn"/>
    <w:uiPriority w:val="99"/>
    <w:semiHidden/>
    <w:unhideWhenUsed/>
    <w:rsid w:val="00204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B9E"/>
    <w:rPr>
      <w:rFonts w:ascii="Tahoma" w:hAnsi="Tahoma" w:cs="Tahoma"/>
      <w:sz w:val="16"/>
      <w:szCs w:val="16"/>
    </w:rPr>
  </w:style>
  <w:style w:type="table" w:styleId="Tabellenraster">
    <w:name w:val="Table Grid"/>
    <w:basedOn w:val="NormaleTabelle"/>
    <w:uiPriority w:val="59"/>
    <w:rsid w:val="00204B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1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B9E"/>
  </w:style>
  <w:style w:type="paragraph" w:styleId="Fuzeile">
    <w:name w:val="footer"/>
    <w:basedOn w:val="Standard"/>
    <w:link w:val="FuzeileZchn"/>
    <w:uiPriority w:val="99"/>
    <w:unhideWhenUsed/>
    <w:rsid w:val="00204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B9E"/>
  </w:style>
  <w:style w:type="paragraph" w:styleId="Sprechblasentext">
    <w:name w:val="Balloon Text"/>
    <w:basedOn w:val="Standard"/>
    <w:link w:val="SprechblasentextZchn"/>
    <w:uiPriority w:val="99"/>
    <w:semiHidden/>
    <w:unhideWhenUsed/>
    <w:rsid w:val="00204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B9E"/>
    <w:rPr>
      <w:rFonts w:ascii="Tahoma" w:hAnsi="Tahoma" w:cs="Tahoma"/>
      <w:sz w:val="16"/>
      <w:szCs w:val="16"/>
    </w:rPr>
  </w:style>
  <w:style w:type="table" w:styleId="Tabellenraster">
    <w:name w:val="Table Grid"/>
    <w:basedOn w:val="NormaleTabelle"/>
    <w:uiPriority w:val="59"/>
    <w:rsid w:val="00204B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1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8C62-8773-4FF7-968D-FCBA141D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norbert.weykunat</cp:lastModifiedBy>
  <cp:revision>2</cp:revision>
  <cp:lastPrinted>2016-02-05T12:46:00Z</cp:lastPrinted>
  <dcterms:created xsi:type="dcterms:W3CDTF">2018-06-29T07:54:00Z</dcterms:created>
  <dcterms:modified xsi:type="dcterms:W3CDTF">2018-06-29T07:54:00Z</dcterms:modified>
</cp:coreProperties>
</file>