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 xml:space="preserve">Bei </w:t>
      </w:r>
      <w:proofErr w:type="spellStart"/>
      <w:r w:rsidRPr="00E5605F">
        <w:rPr>
          <w:rFonts w:cs="Arial"/>
          <w:sz w:val="24"/>
          <w:szCs w:val="24"/>
        </w:rPr>
        <w:t>Kanülenstich</w:t>
      </w:r>
      <w:proofErr w:type="spellEnd"/>
      <w:r w:rsidRPr="00E5605F">
        <w:rPr>
          <w:rFonts w:cs="Arial"/>
          <w:sz w:val="24"/>
          <w:szCs w:val="24"/>
        </w:rPr>
        <w:t>- und Schnittverletzungen mit Blutkontamination besteht ein Infektionsrisiko</w:t>
      </w:r>
      <w:r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 xml:space="preserve">hinsichtlich HIV, Hepatitis B und Hepatitis C. </w:t>
      </w:r>
      <w:r w:rsidR="00B400BC" w:rsidRPr="00C26112">
        <w:rPr>
          <w:rFonts w:cs="Arial"/>
          <w:b/>
          <w:sz w:val="24"/>
          <w:szCs w:val="24"/>
        </w:rPr>
        <w:t>D-Arzt kontaktieren!</w:t>
      </w:r>
    </w:p>
    <w:p w:rsidR="00E5605F" w:rsidRPr="00E5605F" w:rsidRDefault="00E5605F" w:rsidP="00530E7D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Ein Dienst- bzw. Arbeitsunfall bei dem</w:t>
      </w:r>
      <w:r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>es zu einer Infektion kommt, wird ggf. als Berufskrankheit anerkannt und entschädigt.</w:t>
      </w:r>
      <w:r w:rsidR="00BF6AAF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 xml:space="preserve">Die Berufsgenossenschaft für Gesundheitsdienst und Wohlfahrtspflege </w:t>
      </w:r>
      <w:r w:rsidR="00473F76">
        <w:rPr>
          <w:rFonts w:cs="Arial"/>
          <w:sz w:val="24"/>
          <w:szCs w:val="24"/>
        </w:rPr>
        <w:t xml:space="preserve">(BGW) </w:t>
      </w:r>
      <w:r w:rsidRPr="00E5605F">
        <w:rPr>
          <w:rFonts w:cs="Arial"/>
          <w:sz w:val="24"/>
          <w:szCs w:val="24"/>
        </w:rPr>
        <w:t xml:space="preserve">übernimmt die Kosten </w:t>
      </w:r>
      <w:r w:rsidR="00473F76">
        <w:rPr>
          <w:rFonts w:cs="Arial"/>
          <w:sz w:val="24"/>
          <w:szCs w:val="24"/>
        </w:rPr>
        <w:t xml:space="preserve">für </w:t>
      </w:r>
      <w:r w:rsidR="00530E7D">
        <w:rPr>
          <w:rFonts w:cs="Arial"/>
          <w:sz w:val="24"/>
          <w:szCs w:val="24"/>
        </w:rPr>
        <w:t xml:space="preserve">die empfohlenen Blutuntersuchungen und die </w:t>
      </w:r>
      <w:r w:rsidR="00BF6AAF">
        <w:rPr>
          <w:rFonts w:cs="Arial"/>
          <w:sz w:val="24"/>
          <w:szCs w:val="24"/>
        </w:rPr>
        <w:t>Postexpositionsprophylaxe.</w:t>
      </w:r>
    </w:p>
    <w:p w:rsid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473F76" w:rsidRPr="00E5605F" w:rsidRDefault="00473F76" w:rsidP="0047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E5605F">
        <w:rPr>
          <w:rFonts w:cs="Arial"/>
          <w:b/>
          <w:sz w:val="24"/>
          <w:szCs w:val="24"/>
        </w:rPr>
        <w:t>Sofortmaßnahmen bei Exposition:</w:t>
      </w:r>
    </w:p>
    <w:p w:rsidR="00473F76" w:rsidRPr="00E5605F" w:rsidRDefault="00473F76" w:rsidP="00473F7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 xml:space="preserve">Sofortige Wunddesinfektion mit einem gegen HIV, </w:t>
      </w:r>
      <w:proofErr w:type="spellStart"/>
      <w:r w:rsidRPr="00E5605F">
        <w:rPr>
          <w:rFonts w:cs="Arial"/>
          <w:sz w:val="24"/>
          <w:szCs w:val="24"/>
        </w:rPr>
        <w:t>Hep.B</w:t>
      </w:r>
      <w:proofErr w:type="spellEnd"/>
      <w:r w:rsidRPr="00E5605F">
        <w:rPr>
          <w:rFonts w:cs="Arial"/>
          <w:sz w:val="24"/>
          <w:szCs w:val="24"/>
        </w:rPr>
        <w:t xml:space="preserve"> u. </w:t>
      </w:r>
      <w:proofErr w:type="spellStart"/>
      <w:r w:rsidRPr="00E5605F">
        <w:rPr>
          <w:rFonts w:cs="Arial"/>
          <w:sz w:val="24"/>
          <w:szCs w:val="24"/>
        </w:rPr>
        <w:t>Hep.C</w:t>
      </w:r>
      <w:proofErr w:type="spellEnd"/>
      <w:r w:rsidRPr="00E5605F">
        <w:rPr>
          <w:rFonts w:cs="Arial"/>
          <w:sz w:val="24"/>
          <w:szCs w:val="24"/>
        </w:rPr>
        <w:t xml:space="preserve"> wirksamen Präparat mit einem </w:t>
      </w:r>
      <w:proofErr w:type="spellStart"/>
      <w:r w:rsidRPr="00E5605F">
        <w:rPr>
          <w:rFonts w:cs="Arial"/>
          <w:sz w:val="24"/>
          <w:szCs w:val="24"/>
        </w:rPr>
        <w:t>Ethanolgehalt</w:t>
      </w:r>
      <w:proofErr w:type="spellEnd"/>
      <w:r w:rsidRPr="00E5605F">
        <w:rPr>
          <w:rFonts w:cs="Arial"/>
          <w:sz w:val="24"/>
          <w:szCs w:val="24"/>
        </w:rPr>
        <w:t xml:space="preserve"> &gt; 80 Vol. %</w:t>
      </w:r>
    </w:p>
    <w:p w:rsidR="00473F76" w:rsidRPr="00E5605F" w:rsidRDefault="00473F76" w:rsidP="00473F7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Blutfluss fördern durch Druck auf das umliegende Gewebe &gt;1 min.</w:t>
      </w:r>
    </w:p>
    <w:p w:rsidR="00473F76" w:rsidRPr="00E5605F" w:rsidRDefault="00473F76" w:rsidP="00473F7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 xml:space="preserve">Bei Kontamination von Schleimhäuten und Auge sofortige intensive Spülung mit nächstmöglich erreichbarem Wasser oder </w:t>
      </w:r>
      <w:proofErr w:type="spellStart"/>
      <w:r w:rsidRPr="00E5605F">
        <w:rPr>
          <w:rFonts w:cs="Arial"/>
          <w:sz w:val="24"/>
          <w:szCs w:val="24"/>
        </w:rPr>
        <w:t>isoton</w:t>
      </w:r>
      <w:proofErr w:type="spellEnd"/>
      <w:r w:rsidRPr="00E5605F">
        <w:rPr>
          <w:rFonts w:cs="Arial"/>
          <w:sz w:val="24"/>
          <w:szCs w:val="24"/>
        </w:rPr>
        <w:t>. Kochsalzlösung, ggf. 5%iger PVP-Jod</w:t>
      </w:r>
      <w:r w:rsidR="006D4B63">
        <w:rPr>
          <w:rFonts w:cs="Arial"/>
          <w:sz w:val="24"/>
          <w:szCs w:val="24"/>
        </w:rPr>
        <w:t>-L</w:t>
      </w:r>
      <w:r w:rsidRPr="00E5605F">
        <w:rPr>
          <w:rFonts w:cs="Arial"/>
          <w:sz w:val="24"/>
          <w:szCs w:val="24"/>
        </w:rPr>
        <w:t>ösung</w:t>
      </w:r>
    </w:p>
    <w:p w:rsidR="00473F76" w:rsidRDefault="00473F76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6D4B63" w:rsidRDefault="006D4B63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473F76" w:rsidRPr="00E5605F" w:rsidRDefault="00473F76" w:rsidP="00473F76">
      <w:pPr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E5605F">
        <w:rPr>
          <w:rFonts w:cs="Arial"/>
          <w:b/>
          <w:sz w:val="24"/>
          <w:szCs w:val="24"/>
        </w:rPr>
        <w:t>Klärung des Infektionsrisikos: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Grundlage des Vorgehens ist die Beurteilung der konkreten Gefährdung. Wichtige Faktoren sind: Der Immunstatus des Patienten</w:t>
      </w:r>
      <w:r w:rsidR="00B30E3E">
        <w:rPr>
          <w:rFonts w:cs="Arial"/>
          <w:sz w:val="24"/>
          <w:szCs w:val="24"/>
        </w:rPr>
        <w:t xml:space="preserve"> (Blutuntersuchung; Einverständnis!</w:t>
      </w:r>
      <w:r w:rsidR="006D4B63">
        <w:rPr>
          <w:rFonts w:cs="Arial"/>
          <w:sz w:val="24"/>
          <w:szCs w:val="24"/>
        </w:rPr>
        <w:t>)</w:t>
      </w:r>
      <w:r w:rsidRPr="00E5605F">
        <w:rPr>
          <w:rFonts w:cs="Arial"/>
          <w:sz w:val="24"/>
          <w:szCs w:val="24"/>
        </w:rPr>
        <w:t>,</w:t>
      </w:r>
      <w:r w:rsidR="00473F76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>die Art und Schwere der Stich- oder Schnittverletzung und die kontaminierende Menge Blut.</w:t>
      </w:r>
    </w:p>
    <w:p w:rsidR="00473F76" w:rsidRPr="00A82945" w:rsidRDefault="00473F76" w:rsidP="00473F76">
      <w:pPr>
        <w:spacing w:after="0" w:line="240" w:lineRule="auto"/>
        <w:contextualSpacing/>
        <w:rPr>
          <w:rFonts w:cs="Arial"/>
          <w:sz w:val="24"/>
          <w:szCs w:val="24"/>
          <w:u w:val="single"/>
        </w:rPr>
      </w:pPr>
      <w:r w:rsidRPr="00A82945">
        <w:rPr>
          <w:rFonts w:cs="Arial"/>
          <w:sz w:val="24"/>
          <w:szCs w:val="24"/>
          <w:u w:val="single"/>
        </w:rPr>
        <w:t>Beispiele für ein niedriges Risiko:</w:t>
      </w:r>
    </w:p>
    <w:p w:rsidR="00473F76" w:rsidRPr="00A82945" w:rsidRDefault="00473F76" w:rsidP="00473F76">
      <w:pPr>
        <w:pStyle w:val="Listenabsatz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Kontamination von intakter Haut (auch bei hoher Viruskonzentration)</w:t>
      </w:r>
    </w:p>
    <w:p w:rsidR="00473F76" w:rsidRPr="00A82945" w:rsidRDefault="00473F76" w:rsidP="00473F76">
      <w:pPr>
        <w:pStyle w:val="Listenabsatz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Haut- oder Schleimhautkontakt mit Körperflüssigkeiten, wie Urin oder Speichel</w:t>
      </w:r>
    </w:p>
    <w:p w:rsidR="00473F76" w:rsidRPr="00A82945" w:rsidRDefault="00473F76" w:rsidP="00473F76">
      <w:pPr>
        <w:spacing w:after="0" w:line="240" w:lineRule="auto"/>
        <w:contextualSpacing/>
        <w:rPr>
          <w:rFonts w:cs="Arial"/>
          <w:sz w:val="24"/>
          <w:szCs w:val="24"/>
          <w:u w:val="single"/>
        </w:rPr>
      </w:pPr>
      <w:r w:rsidRPr="00A82945">
        <w:rPr>
          <w:rFonts w:cs="Arial"/>
          <w:sz w:val="24"/>
          <w:szCs w:val="24"/>
          <w:u w:val="single"/>
        </w:rPr>
        <w:t>Beispiele für ein mittleres Risiko:</w:t>
      </w:r>
    </w:p>
    <w:p w:rsidR="00473F76" w:rsidRPr="00A82945" w:rsidRDefault="00473F76" w:rsidP="00473F76">
      <w:pPr>
        <w:pStyle w:val="Listenabsatz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Kontakt von eigenen Hautläsionen (Ekzeme, Hautrisse) mit Flüssigkeiten des Patienten mit hoher Viruskonzentration</w:t>
      </w:r>
    </w:p>
    <w:p w:rsidR="00473F76" w:rsidRPr="00A82945" w:rsidRDefault="00473F76" w:rsidP="00473F76">
      <w:pPr>
        <w:pStyle w:val="Listenabsatz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A82945">
        <w:rPr>
          <w:rFonts w:cs="Arial"/>
          <w:sz w:val="24"/>
          <w:szCs w:val="24"/>
        </w:rPr>
        <w:t>Kanülenverletzung</w:t>
      </w:r>
      <w:proofErr w:type="spellEnd"/>
      <w:r w:rsidRPr="00A82945">
        <w:rPr>
          <w:rFonts w:cs="Arial"/>
          <w:sz w:val="24"/>
          <w:szCs w:val="24"/>
        </w:rPr>
        <w:t xml:space="preserve"> z.B. nach vorangegangener Injektion</w:t>
      </w:r>
    </w:p>
    <w:p w:rsidR="00473F76" w:rsidRPr="00A82945" w:rsidRDefault="00473F76" w:rsidP="00473F76">
      <w:pPr>
        <w:spacing w:after="0" w:line="240" w:lineRule="auto"/>
        <w:contextualSpacing/>
        <w:rPr>
          <w:rFonts w:cs="Arial"/>
          <w:sz w:val="24"/>
          <w:szCs w:val="24"/>
          <w:u w:val="single"/>
        </w:rPr>
      </w:pPr>
      <w:r w:rsidRPr="00A82945">
        <w:rPr>
          <w:rFonts w:cs="Arial"/>
          <w:sz w:val="24"/>
          <w:szCs w:val="24"/>
          <w:u w:val="single"/>
        </w:rPr>
        <w:t>Beispiele für ein hohes Risiko:</w:t>
      </w:r>
    </w:p>
    <w:p w:rsidR="00473F76" w:rsidRPr="00A82945" w:rsidRDefault="00473F76" w:rsidP="00473F76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Der Patient gehört einer Risikogruppe (Drogengebrauch/Homosexualität) an</w:t>
      </w:r>
    </w:p>
    <w:p w:rsidR="00473F76" w:rsidRPr="00A82945" w:rsidRDefault="00473F76" w:rsidP="00473F76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Beim Patienten ist bereits eine HIV Infektion bekannt bzw. er hat bereits AIDS</w:t>
      </w:r>
    </w:p>
    <w:p w:rsidR="00473F76" w:rsidRPr="00A82945" w:rsidRDefault="00473F76" w:rsidP="00473F76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Beim Patienten ist eine infektiöse Hepatitis B oder C bekannt</w:t>
      </w:r>
    </w:p>
    <w:p w:rsidR="00473F76" w:rsidRPr="00A82945" w:rsidRDefault="00473F76" w:rsidP="00473F76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Beim Patienten wird eine antivirale Therapie durchgeführt</w:t>
      </w:r>
    </w:p>
    <w:p w:rsidR="00473F76" w:rsidRPr="00A82945" w:rsidRDefault="00473F76" w:rsidP="00473F76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Zur Blutentnahme wurde eine Hohlraumnadel verwendet</w:t>
      </w:r>
    </w:p>
    <w:p w:rsidR="00473F76" w:rsidRPr="00A82945" w:rsidRDefault="00473F76" w:rsidP="00473F76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Es besteht eine tiefe Hautverletzung</w:t>
      </w:r>
    </w:p>
    <w:p w:rsidR="00473F76" w:rsidRPr="00A82945" w:rsidRDefault="00473F76" w:rsidP="00473F76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A82945">
        <w:rPr>
          <w:rFonts w:cs="Arial"/>
          <w:sz w:val="24"/>
          <w:szCs w:val="24"/>
        </w:rPr>
        <w:t>Das verletzende Instrument trägt Spuren der Blutkontamination</w:t>
      </w:r>
    </w:p>
    <w:p w:rsid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E539FF" w:rsidRPr="00E5605F" w:rsidRDefault="00E539F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E5605F" w:rsidRPr="00A82945" w:rsidRDefault="00E5605F" w:rsidP="00BF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A82945">
        <w:rPr>
          <w:rFonts w:cs="Arial"/>
          <w:b/>
          <w:sz w:val="24"/>
          <w:szCs w:val="24"/>
        </w:rPr>
        <w:t>Blutuntersuchungen</w:t>
      </w:r>
    </w:p>
    <w:p w:rsidR="00E5605F" w:rsidRPr="00E5605F" w:rsidRDefault="00E5605F" w:rsidP="00BF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Kann nach der Gefährdungsanalyse ein Infektionsrisiko nicht ausgeschlossen werden, sollten möglichst kurzfristig folgende Blutuntersuchungen durchgeführt werden:</w:t>
      </w:r>
    </w:p>
    <w:p w:rsidR="00E5605F" w:rsidRPr="00E5605F" w:rsidRDefault="00E5605F" w:rsidP="00BF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cs="Arial"/>
          <w:sz w:val="24"/>
          <w:szCs w:val="24"/>
          <w:lang w:val="en-US"/>
        </w:rPr>
      </w:pPr>
      <w:proofErr w:type="gramStart"/>
      <w:r w:rsidRPr="00E5605F">
        <w:rPr>
          <w:rFonts w:cs="Arial"/>
          <w:sz w:val="24"/>
          <w:szCs w:val="24"/>
          <w:lang w:val="en-US"/>
        </w:rPr>
        <w:t>Anti</w:t>
      </w:r>
      <w:r w:rsidR="00A82945">
        <w:rPr>
          <w:rFonts w:cs="Arial"/>
          <w:sz w:val="24"/>
          <w:szCs w:val="24"/>
          <w:lang w:val="en-US"/>
        </w:rPr>
        <w:t>-</w:t>
      </w:r>
      <w:r w:rsidRPr="00E5605F">
        <w:rPr>
          <w:rFonts w:cs="Arial"/>
          <w:sz w:val="24"/>
          <w:szCs w:val="24"/>
          <w:lang w:val="en-US"/>
        </w:rPr>
        <w:t>HBs, Anti</w:t>
      </w:r>
      <w:r w:rsidR="00A82945">
        <w:rPr>
          <w:rFonts w:cs="Arial"/>
          <w:sz w:val="24"/>
          <w:szCs w:val="24"/>
          <w:lang w:val="en-US"/>
        </w:rPr>
        <w:t>-</w:t>
      </w:r>
      <w:proofErr w:type="spellStart"/>
      <w:r w:rsidRPr="00E5605F">
        <w:rPr>
          <w:rFonts w:cs="Arial"/>
          <w:sz w:val="24"/>
          <w:szCs w:val="24"/>
          <w:lang w:val="en-US"/>
        </w:rPr>
        <w:t>HBc</w:t>
      </w:r>
      <w:proofErr w:type="spellEnd"/>
      <w:r w:rsidRPr="00E5605F">
        <w:rPr>
          <w:rFonts w:cs="Arial"/>
          <w:sz w:val="24"/>
          <w:szCs w:val="24"/>
          <w:lang w:val="en-US"/>
        </w:rPr>
        <w:t>, Anti</w:t>
      </w:r>
      <w:r w:rsidR="00A82945">
        <w:rPr>
          <w:rFonts w:cs="Arial"/>
          <w:sz w:val="24"/>
          <w:szCs w:val="24"/>
          <w:lang w:val="en-US"/>
        </w:rPr>
        <w:t>-</w:t>
      </w:r>
      <w:r w:rsidRPr="00E5605F">
        <w:rPr>
          <w:rFonts w:cs="Arial"/>
          <w:sz w:val="24"/>
          <w:szCs w:val="24"/>
          <w:lang w:val="en-US"/>
        </w:rPr>
        <w:t>HCV und Anti</w:t>
      </w:r>
      <w:r w:rsidR="00A82945">
        <w:rPr>
          <w:rFonts w:cs="Arial"/>
          <w:sz w:val="24"/>
          <w:szCs w:val="24"/>
          <w:lang w:val="en-US"/>
        </w:rPr>
        <w:t>-</w:t>
      </w:r>
      <w:r w:rsidRPr="00E5605F">
        <w:rPr>
          <w:rFonts w:cs="Arial"/>
          <w:sz w:val="24"/>
          <w:szCs w:val="24"/>
          <w:lang w:val="en-US"/>
        </w:rPr>
        <w:t>HIV.</w:t>
      </w:r>
      <w:proofErr w:type="gramEnd"/>
      <w:r w:rsidRPr="00E5605F">
        <w:rPr>
          <w:rFonts w:cs="Arial"/>
          <w:sz w:val="24"/>
          <w:szCs w:val="24"/>
          <w:lang w:val="en-US"/>
        </w:rPr>
        <w:t xml:space="preserve"> </w:t>
      </w:r>
    </w:p>
    <w:p w:rsidR="00E5605F" w:rsidRPr="00E5605F" w:rsidRDefault="00E5605F" w:rsidP="00BF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Diese Tests sollten nach sechs Wochen, zwölf Wochen und sechs Monate nach der Erstuntersuchung wiederholt werden.</w:t>
      </w:r>
    </w:p>
    <w:p w:rsidR="00E539FF" w:rsidRDefault="00E539FF" w:rsidP="00E5605F">
      <w:pPr>
        <w:spacing w:after="0" w:line="240" w:lineRule="auto"/>
        <w:contextualSpacing/>
        <w:rPr>
          <w:rFonts w:cs="Arial"/>
          <w:b/>
          <w:sz w:val="24"/>
          <w:szCs w:val="24"/>
        </w:rPr>
      </w:pPr>
    </w:p>
    <w:p w:rsidR="00E539FF" w:rsidRDefault="00E539FF" w:rsidP="00E5605F">
      <w:pPr>
        <w:spacing w:after="0" w:line="240" w:lineRule="auto"/>
        <w:contextualSpacing/>
        <w:rPr>
          <w:rFonts w:cs="Arial"/>
          <w:b/>
          <w:sz w:val="24"/>
          <w:szCs w:val="24"/>
        </w:rPr>
      </w:pPr>
    </w:p>
    <w:p w:rsidR="00E539FF" w:rsidRDefault="00E539FF" w:rsidP="00E5605F">
      <w:pPr>
        <w:spacing w:after="0" w:line="240" w:lineRule="auto"/>
        <w:contextualSpacing/>
        <w:rPr>
          <w:rFonts w:cs="Arial"/>
          <w:b/>
          <w:sz w:val="24"/>
          <w:szCs w:val="24"/>
        </w:rPr>
      </w:pPr>
    </w:p>
    <w:p w:rsidR="00E5605F" w:rsidRPr="00A6703D" w:rsidRDefault="00A6703D" w:rsidP="00E5605F">
      <w:pPr>
        <w:spacing w:after="0" w:line="240" w:lineRule="auto"/>
        <w:contextualSpacing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lastRenderedPageBreak/>
        <w:t>Hepatitis B-</w:t>
      </w:r>
      <w:r w:rsidR="00E5605F" w:rsidRPr="00A6703D">
        <w:rPr>
          <w:rFonts w:cs="Arial"/>
          <w:b/>
          <w:sz w:val="24"/>
          <w:szCs w:val="24"/>
        </w:rPr>
        <w:t>Maßnahmen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Bei ausreichend immunisierten Verletzten entfällt die Notwendigkeit der B</w:t>
      </w:r>
      <w:r w:rsidR="00A6703D">
        <w:rPr>
          <w:rFonts w:cs="Arial"/>
          <w:sz w:val="24"/>
          <w:szCs w:val="24"/>
        </w:rPr>
        <w:t>lutuntersuchungen zum Nachweis/</w:t>
      </w:r>
      <w:r w:rsidRPr="00E5605F">
        <w:rPr>
          <w:rFonts w:cs="Arial"/>
          <w:sz w:val="24"/>
          <w:szCs w:val="24"/>
        </w:rPr>
        <w:t>Ausschluss einer</w:t>
      </w:r>
      <w:r w:rsidR="00A6703D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>Hepatitis B, da in diesem Fall ein sicherer Schutz vor der Hepatitis B</w:t>
      </w:r>
      <w:r w:rsidR="00A6703D">
        <w:rPr>
          <w:rFonts w:cs="Arial"/>
          <w:sz w:val="24"/>
          <w:szCs w:val="24"/>
        </w:rPr>
        <w:t>-</w:t>
      </w:r>
      <w:r w:rsidRPr="00E5605F">
        <w:rPr>
          <w:rFonts w:cs="Arial"/>
          <w:sz w:val="24"/>
          <w:szCs w:val="24"/>
        </w:rPr>
        <w:t>Infektion besteht.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Für den Fall, dass der Verletzte bisher nicht geimpft wurde, wird dringend empfohlen, anlässlich der Stich- oder Schnittverletzung</w:t>
      </w:r>
      <w:r w:rsidR="00A6703D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>die aktive Impfung durchzuführen. Der Impferfolg ist vier Wochen nach Durchführung der Grundimmunisierung zu kontrollieren. Bei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 xml:space="preserve">unvollständiger Impfung </w:t>
      </w:r>
      <w:r w:rsidR="00F501E1">
        <w:rPr>
          <w:rFonts w:cs="Arial"/>
          <w:sz w:val="24"/>
          <w:szCs w:val="24"/>
        </w:rPr>
        <w:t xml:space="preserve">wird eine Vervollständigung der Grundimmunisierung, </w:t>
      </w:r>
      <w:r w:rsidRPr="00E5605F">
        <w:rPr>
          <w:rFonts w:cs="Arial"/>
          <w:sz w:val="24"/>
          <w:szCs w:val="24"/>
        </w:rPr>
        <w:t xml:space="preserve">bei einer Impfung, die vor mehr als </w:t>
      </w:r>
      <w:r w:rsidR="00386B9E">
        <w:rPr>
          <w:rFonts w:cs="Arial"/>
          <w:sz w:val="24"/>
          <w:szCs w:val="24"/>
        </w:rPr>
        <w:t>10</w:t>
      </w:r>
      <w:r w:rsidRPr="00E5605F">
        <w:rPr>
          <w:rFonts w:cs="Arial"/>
          <w:sz w:val="24"/>
          <w:szCs w:val="24"/>
        </w:rPr>
        <w:t xml:space="preserve"> Jahren erfolgte</w:t>
      </w:r>
      <w:r w:rsidR="00386B9E">
        <w:rPr>
          <w:rFonts w:cs="Arial"/>
          <w:sz w:val="24"/>
          <w:szCs w:val="24"/>
        </w:rPr>
        <w:t xml:space="preserve"> (je nach aktuellem Anti-HBs-Titer)</w:t>
      </w:r>
      <w:r w:rsidRPr="00E5605F">
        <w:rPr>
          <w:rFonts w:cs="Arial"/>
          <w:sz w:val="24"/>
          <w:szCs w:val="24"/>
        </w:rPr>
        <w:t xml:space="preserve">, wird </w:t>
      </w:r>
      <w:r w:rsidR="00F501E1">
        <w:rPr>
          <w:rFonts w:cs="Arial"/>
          <w:sz w:val="24"/>
          <w:szCs w:val="24"/>
        </w:rPr>
        <w:t>eine Booster-Impfung</w:t>
      </w:r>
      <w:r w:rsidRPr="00E5605F">
        <w:rPr>
          <w:rFonts w:cs="Arial"/>
          <w:sz w:val="24"/>
          <w:szCs w:val="24"/>
        </w:rPr>
        <w:t xml:space="preserve"> empfohlen.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E5605F" w:rsidRPr="00A6703D" w:rsidRDefault="00A6703D" w:rsidP="00E5605F">
      <w:pPr>
        <w:spacing w:after="0" w:line="240" w:lineRule="auto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Hepatitis C-</w:t>
      </w:r>
      <w:r w:rsidR="00E5605F" w:rsidRPr="00A6703D">
        <w:rPr>
          <w:rFonts w:cs="Arial"/>
          <w:b/>
          <w:sz w:val="24"/>
          <w:szCs w:val="24"/>
        </w:rPr>
        <w:t>Maßnahmen</w:t>
      </w:r>
    </w:p>
    <w:p w:rsidR="00B30E3E" w:rsidRPr="00B30E3E" w:rsidRDefault="00E5605F" w:rsidP="00B30E3E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Wenn Kontakt mit dem Blut einer nachweislich Hepatitis-C-positiven Person bestand, wird empfohlen, zur Früherkennung nach</w:t>
      </w:r>
      <w:r w:rsidR="00A6703D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 xml:space="preserve">zwei bis vier Wochen eine HCV-PCR durchzuführen, um eventuell eine Frühtherapie einleiten zu können. </w:t>
      </w:r>
      <w:r w:rsidR="00B30E3E" w:rsidRPr="00B30E3E">
        <w:rPr>
          <w:rFonts w:cs="Arial"/>
          <w:sz w:val="24"/>
          <w:szCs w:val="24"/>
        </w:rPr>
        <w:t>Falls negativ kann diese Untersuchung</w:t>
      </w:r>
    </w:p>
    <w:p w:rsidR="00E5605F" w:rsidRPr="00E5605F" w:rsidRDefault="00B30E3E" w:rsidP="00B30E3E">
      <w:pPr>
        <w:spacing w:after="0" w:line="240" w:lineRule="auto"/>
        <w:contextualSpacing/>
        <w:rPr>
          <w:rFonts w:cs="Arial"/>
          <w:sz w:val="24"/>
          <w:szCs w:val="24"/>
        </w:rPr>
      </w:pPr>
      <w:r w:rsidRPr="00B30E3E">
        <w:rPr>
          <w:rFonts w:cs="Arial"/>
          <w:sz w:val="24"/>
          <w:szCs w:val="24"/>
        </w:rPr>
        <w:t>6-8 Wochen nach Exposition wiederholt werden.</w:t>
      </w:r>
      <w:r>
        <w:rPr>
          <w:rFonts w:cs="Arial"/>
          <w:sz w:val="24"/>
          <w:szCs w:val="24"/>
        </w:rPr>
        <w:t xml:space="preserve"> </w:t>
      </w:r>
      <w:r w:rsidR="00E5605F" w:rsidRPr="00E5605F">
        <w:rPr>
          <w:rFonts w:cs="Arial"/>
          <w:sz w:val="24"/>
          <w:szCs w:val="24"/>
        </w:rPr>
        <w:t>Die Bestimmung von</w:t>
      </w:r>
      <w:r w:rsidR="00A6703D">
        <w:rPr>
          <w:rFonts w:cs="Arial"/>
          <w:sz w:val="24"/>
          <w:szCs w:val="24"/>
        </w:rPr>
        <w:t xml:space="preserve"> </w:t>
      </w:r>
      <w:r w:rsidR="00E5605F" w:rsidRPr="00E5605F">
        <w:rPr>
          <w:rFonts w:cs="Arial"/>
          <w:sz w:val="24"/>
          <w:szCs w:val="24"/>
        </w:rPr>
        <w:t>Anti</w:t>
      </w:r>
      <w:r w:rsidR="00A6703D">
        <w:rPr>
          <w:rFonts w:cs="Arial"/>
          <w:sz w:val="24"/>
          <w:szCs w:val="24"/>
        </w:rPr>
        <w:t>-</w:t>
      </w:r>
      <w:r w:rsidR="00E5605F" w:rsidRPr="00E5605F">
        <w:rPr>
          <w:rFonts w:cs="Arial"/>
          <w:sz w:val="24"/>
          <w:szCs w:val="24"/>
        </w:rPr>
        <w:t>HCV muss unabhängig davon in den vorgegebenen Abständen (s. o.) durchgeführt werden.</w:t>
      </w:r>
    </w:p>
    <w:p w:rsid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F501E1" w:rsidRPr="00E5605F" w:rsidRDefault="00F501E1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E5605F" w:rsidRPr="00A6703D" w:rsidRDefault="00A6703D" w:rsidP="00E5605F">
      <w:pPr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A6703D">
        <w:rPr>
          <w:rFonts w:cs="Arial"/>
          <w:b/>
          <w:sz w:val="24"/>
          <w:szCs w:val="24"/>
        </w:rPr>
        <w:t>HIV-</w:t>
      </w:r>
      <w:r w:rsidR="00E5605F" w:rsidRPr="00A6703D">
        <w:rPr>
          <w:rFonts w:cs="Arial"/>
          <w:b/>
          <w:sz w:val="24"/>
          <w:szCs w:val="24"/>
        </w:rPr>
        <w:t>Maßnahmen</w:t>
      </w:r>
    </w:p>
    <w:p w:rsidR="0078152D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 xml:space="preserve">Wenn Kontakt mit Blut einer eventuell HIV-infizierten Person bestand, kann die </w:t>
      </w:r>
      <w:proofErr w:type="spellStart"/>
      <w:r w:rsidRPr="00E5605F">
        <w:rPr>
          <w:rFonts w:cs="Arial"/>
          <w:sz w:val="24"/>
          <w:szCs w:val="24"/>
        </w:rPr>
        <w:t>Infektiosität</w:t>
      </w:r>
      <w:proofErr w:type="spellEnd"/>
      <w:r w:rsidRPr="00E5605F">
        <w:rPr>
          <w:rFonts w:cs="Arial"/>
          <w:sz w:val="24"/>
          <w:szCs w:val="24"/>
        </w:rPr>
        <w:t xml:space="preserve"> des </w:t>
      </w:r>
      <w:r w:rsidR="00A6703D">
        <w:rPr>
          <w:rFonts w:cs="Arial"/>
          <w:sz w:val="24"/>
          <w:szCs w:val="24"/>
        </w:rPr>
        <w:t>P</w:t>
      </w:r>
      <w:r w:rsidRPr="00E5605F">
        <w:rPr>
          <w:rFonts w:cs="Arial"/>
          <w:sz w:val="24"/>
          <w:szCs w:val="24"/>
        </w:rPr>
        <w:t>atienten mittels eines HIV</w:t>
      </w:r>
      <w:r w:rsidR="00A6703D">
        <w:rPr>
          <w:rFonts w:cs="Arial"/>
          <w:sz w:val="24"/>
          <w:szCs w:val="24"/>
        </w:rPr>
        <w:t>-</w:t>
      </w:r>
      <w:r w:rsidRPr="00E5605F">
        <w:rPr>
          <w:rFonts w:cs="Arial"/>
          <w:sz w:val="24"/>
          <w:szCs w:val="24"/>
        </w:rPr>
        <w:t>Schnelltests</w:t>
      </w:r>
      <w:r w:rsidR="00A6703D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 xml:space="preserve">festgestellt werden. 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Bei Kontakt mit Blut einer nachweislich HIV-positiven Person kann eine medikamentöse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78152D">
        <w:rPr>
          <w:rFonts w:cs="Arial"/>
          <w:sz w:val="24"/>
          <w:szCs w:val="24"/>
          <w:u w:val="single"/>
        </w:rPr>
        <w:t>Postexpositionsprophylaxe</w:t>
      </w:r>
      <w:r w:rsidRPr="00E5605F">
        <w:rPr>
          <w:rFonts w:cs="Arial"/>
          <w:sz w:val="24"/>
          <w:szCs w:val="24"/>
        </w:rPr>
        <w:t xml:space="preserve"> (PEP) erforderlich </w:t>
      </w:r>
      <w:proofErr w:type="gramStart"/>
      <w:r w:rsidRPr="00E5605F">
        <w:rPr>
          <w:rFonts w:cs="Arial"/>
          <w:sz w:val="24"/>
          <w:szCs w:val="24"/>
        </w:rPr>
        <w:t>werden</w:t>
      </w:r>
      <w:proofErr w:type="gramEnd"/>
      <w:r w:rsidRPr="00E5605F">
        <w:rPr>
          <w:rFonts w:cs="Arial"/>
          <w:sz w:val="24"/>
          <w:szCs w:val="24"/>
        </w:rPr>
        <w:t xml:space="preserve">. Die besten Erfolgsaussichten hat eine PEP, wenn </w:t>
      </w:r>
      <w:r w:rsidRPr="0078152D">
        <w:rPr>
          <w:rFonts w:cs="Arial"/>
          <w:sz w:val="24"/>
          <w:szCs w:val="24"/>
          <w:u w:val="single"/>
        </w:rPr>
        <w:t>sie innerhalb von zwei</w:t>
      </w:r>
      <w:r w:rsidR="00A6703D" w:rsidRPr="0078152D">
        <w:rPr>
          <w:rFonts w:cs="Arial"/>
          <w:sz w:val="24"/>
          <w:szCs w:val="24"/>
          <w:u w:val="single"/>
        </w:rPr>
        <w:t xml:space="preserve"> </w:t>
      </w:r>
      <w:r w:rsidRPr="0078152D">
        <w:rPr>
          <w:rFonts w:cs="Arial"/>
          <w:sz w:val="24"/>
          <w:szCs w:val="24"/>
          <w:u w:val="single"/>
        </w:rPr>
        <w:t>Stunden nach der Verletzung</w:t>
      </w:r>
      <w:r w:rsidRPr="00E5605F">
        <w:rPr>
          <w:rFonts w:cs="Arial"/>
          <w:sz w:val="24"/>
          <w:szCs w:val="24"/>
        </w:rPr>
        <w:t xml:space="preserve"> begonnen wurde.</w:t>
      </w:r>
    </w:p>
    <w:p w:rsidR="00855354" w:rsidRPr="00E5605F" w:rsidRDefault="00E5605F" w:rsidP="00855354">
      <w:pPr>
        <w:spacing w:after="0" w:line="240" w:lineRule="auto"/>
        <w:contextualSpacing/>
        <w:rPr>
          <w:rFonts w:cs="Arial"/>
          <w:sz w:val="24"/>
          <w:szCs w:val="24"/>
        </w:rPr>
      </w:pPr>
      <w:r w:rsidRPr="00E5605F">
        <w:rPr>
          <w:rFonts w:cs="Arial"/>
          <w:sz w:val="24"/>
          <w:szCs w:val="24"/>
        </w:rPr>
        <w:t>Die PEP kann eine Erkrankung verhindern, auch wenn bereits Erreger in die Blutbahn gelangt sind. Wegen der möglichen starken</w:t>
      </w:r>
      <w:r w:rsidR="00A6703D">
        <w:rPr>
          <w:rFonts w:cs="Arial"/>
          <w:sz w:val="24"/>
          <w:szCs w:val="24"/>
        </w:rPr>
        <w:t xml:space="preserve"> </w:t>
      </w:r>
      <w:r w:rsidRPr="00E5605F">
        <w:rPr>
          <w:rFonts w:cs="Arial"/>
          <w:sz w:val="24"/>
          <w:szCs w:val="24"/>
        </w:rPr>
        <w:t xml:space="preserve">Nebenwirkungen der Medikamente muss </w:t>
      </w:r>
      <w:r w:rsidR="00855354">
        <w:rPr>
          <w:rFonts w:cs="Arial"/>
          <w:sz w:val="24"/>
          <w:szCs w:val="24"/>
        </w:rPr>
        <w:t xml:space="preserve">der Betroffene </w:t>
      </w:r>
      <w:r w:rsidRPr="00E5605F">
        <w:rPr>
          <w:rFonts w:cs="Arial"/>
          <w:sz w:val="24"/>
          <w:szCs w:val="24"/>
        </w:rPr>
        <w:t>die Entscheidung für oder gegen eine PEP</w:t>
      </w:r>
      <w:r w:rsidR="001256D8">
        <w:rPr>
          <w:rFonts w:cs="Arial"/>
          <w:sz w:val="24"/>
          <w:szCs w:val="24"/>
        </w:rPr>
        <w:t xml:space="preserve"> </w:t>
      </w:r>
      <w:r w:rsidR="00855354" w:rsidRPr="00E5605F">
        <w:rPr>
          <w:rFonts w:cs="Arial"/>
          <w:sz w:val="24"/>
          <w:szCs w:val="24"/>
        </w:rPr>
        <w:t>in Beratung durch einen in der HIV-Therapie erfahrenen Arzt treffen.</w:t>
      </w:r>
    </w:p>
    <w:p w:rsidR="00E5605F" w:rsidRPr="00E5605F" w:rsidRDefault="00E5605F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E5605F" w:rsidRPr="000A56F6" w:rsidRDefault="000A56F6" w:rsidP="000A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0A56F6">
        <w:rPr>
          <w:rFonts w:cs="Arial"/>
          <w:b/>
          <w:sz w:val="24"/>
          <w:szCs w:val="24"/>
        </w:rPr>
        <w:t>Wichtig: Unfalldokumentation!</w:t>
      </w:r>
    </w:p>
    <w:p w:rsidR="000A56F6" w:rsidRPr="00E5605F" w:rsidRDefault="000A56F6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0A56F6" w:rsidRDefault="000A56F6" w:rsidP="00E5605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0A56F6" w:rsidRPr="00CD2C70" w:rsidRDefault="000A56F6" w:rsidP="00E5605F">
      <w:pPr>
        <w:spacing w:after="0" w:line="240" w:lineRule="auto"/>
        <w:contextualSpacing/>
        <w:rPr>
          <w:rFonts w:cs="Arial"/>
          <w:color w:val="FF0000"/>
          <w:sz w:val="24"/>
          <w:szCs w:val="24"/>
        </w:rPr>
      </w:pPr>
      <w:r w:rsidRPr="00CD2C70">
        <w:rPr>
          <w:rFonts w:cs="Arial"/>
          <w:color w:val="FF0000"/>
          <w:sz w:val="24"/>
          <w:szCs w:val="24"/>
        </w:rPr>
        <w:t xml:space="preserve">Bitte die Kontaktdaten der für die </w:t>
      </w:r>
      <w:r w:rsidR="00C26112" w:rsidRPr="00CD2C70">
        <w:rPr>
          <w:rFonts w:cs="Arial"/>
          <w:color w:val="FF0000"/>
          <w:sz w:val="24"/>
          <w:szCs w:val="24"/>
        </w:rPr>
        <w:t>Praxis</w:t>
      </w:r>
      <w:r w:rsidRPr="00CD2C70">
        <w:rPr>
          <w:rFonts w:cs="Arial"/>
          <w:color w:val="FF0000"/>
          <w:sz w:val="24"/>
          <w:szCs w:val="24"/>
        </w:rPr>
        <w:t xml:space="preserve"> zuständigen Ansprechpartner eintragen: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CD2C70" w:rsidRPr="00CD2C70" w:rsidTr="001256D8">
        <w:tc>
          <w:tcPr>
            <w:tcW w:w="3107" w:type="dxa"/>
            <w:vAlign w:val="center"/>
          </w:tcPr>
          <w:p w:rsidR="000A56F6" w:rsidRPr="00CD2C70" w:rsidRDefault="000A56F6" w:rsidP="000A56F6">
            <w:pPr>
              <w:contextualSpacing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CD2C70">
              <w:rPr>
                <w:rFonts w:cs="Arial"/>
                <w:color w:val="FF0000"/>
                <w:sz w:val="24"/>
                <w:szCs w:val="24"/>
              </w:rPr>
              <w:t>D-Arzt</w:t>
            </w:r>
          </w:p>
        </w:tc>
        <w:tc>
          <w:tcPr>
            <w:tcW w:w="3107" w:type="dxa"/>
            <w:vAlign w:val="center"/>
          </w:tcPr>
          <w:p w:rsidR="000A56F6" w:rsidRPr="00CD2C70" w:rsidRDefault="000A56F6" w:rsidP="000A56F6">
            <w:pPr>
              <w:contextualSpacing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CD2C70">
              <w:rPr>
                <w:rFonts w:cs="Arial"/>
                <w:color w:val="FF0000"/>
                <w:sz w:val="24"/>
                <w:szCs w:val="24"/>
              </w:rPr>
              <w:t>Notaufnahme</w:t>
            </w:r>
          </w:p>
        </w:tc>
        <w:tc>
          <w:tcPr>
            <w:tcW w:w="3108" w:type="dxa"/>
            <w:vAlign w:val="center"/>
          </w:tcPr>
          <w:p w:rsidR="000A56F6" w:rsidRPr="00CD2C70" w:rsidRDefault="00187A37" w:rsidP="00187A37">
            <w:pPr>
              <w:contextualSpacing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CD2C70">
              <w:rPr>
                <w:rFonts w:cs="Arial"/>
                <w:color w:val="FF0000"/>
                <w:sz w:val="24"/>
                <w:szCs w:val="24"/>
              </w:rPr>
              <w:t>Naheste Klinik die 24h HIV-PEP vorhält*</w:t>
            </w:r>
          </w:p>
        </w:tc>
      </w:tr>
      <w:tr w:rsidR="000A56F6" w:rsidTr="001256D8">
        <w:trPr>
          <w:trHeight w:val="2975"/>
        </w:trPr>
        <w:tc>
          <w:tcPr>
            <w:tcW w:w="3107" w:type="dxa"/>
          </w:tcPr>
          <w:p w:rsidR="000A56F6" w:rsidRDefault="000A56F6" w:rsidP="00E5605F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:rsidR="000A56F6" w:rsidRDefault="000A56F6" w:rsidP="00E5605F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108" w:type="dxa"/>
          </w:tcPr>
          <w:p w:rsidR="000A56F6" w:rsidRDefault="000A56F6" w:rsidP="00E5605F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:rsidR="00A6703D" w:rsidRPr="001256D8" w:rsidRDefault="00187A37" w:rsidP="00E5605F">
      <w:pPr>
        <w:spacing w:after="0" w:line="240" w:lineRule="auto"/>
        <w:contextualSpacing/>
        <w:rPr>
          <w:rFonts w:cs="Arial"/>
          <w:szCs w:val="24"/>
        </w:rPr>
      </w:pPr>
      <w:r w:rsidRPr="001256D8">
        <w:rPr>
          <w:rFonts w:cs="Arial"/>
          <w:szCs w:val="24"/>
        </w:rPr>
        <w:t>*Liste unter www.aidshilfe.de/de/adressen/pep-kliniken</w:t>
      </w:r>
    </w:p>
    <w:sectPr w:rsidR="00A6703D" w:rsidRPr="001256D8" w:rsidSect="002227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60" w:rsidRDefault="00222760" w:rsidP="00222760">
      <w:pPr>
        <w:spacing w:after="0" w:line="240" w:lineRule="auto"/>
      </w:pPr>
      <w:r>
        <w:separator/>
      </w:r>
    </w:p>
  </w:endnote>
  <w:endnote w:type="continuationSeparator" w:id="0">
    <w:p w:rsidR="00222760" w:rsidRDefault="00222760" w:rsidP="0022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22760" w:rsidRPr="004B7A84" w:rsidTr="000F18D3">
      <w:tc>
        <w:tcPr>
          <w:tcW w:w="3070" w:type="dxa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>
            <w:rPr>
              <w:rFonts w:cs="Arial"/>
              <w:sz w:val="18"/>
            </w:rPr>
            <w:t>Stich-/Schnittverletzungen</w:t>
          </w:r>
        </w:p>
      </w:tc>
    </w:tr>
    <w:tr w:rsidR="00222760" w:rsidRPr="004B7A84" w:rsidTr="000F18D3">
      <w:tc>
        <w:tcPr>
          <w:tcW w:w="3070" w:type="dxa"/>
          <w:vMerge w:val="restart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E539FF">
            <w:rPr>
              <w:b/>
              <w:noProof/>
              <w:sz w:val="18"/>
            </w:rPr>
            <w:t>2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E539FF">
            <w:rPr>
              <w:b/>
              <w:noProof/>
              <w:sz w:val="18"/>
            </w:rPr>
            <w:t>2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222760" w:rsidRPr="004B7A84" w:rsidTr="000F18D3">
      <w:tc>
        <w:tcPr>
          <w:tcW w:w="3070" w:type="dxa"/>
          <w:vMerge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222760" w:rsidRDefault="002227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22760" w:rsidRPr="004B7A84" w:rsidTr="000F18D3">
      <w:tc>
        <w:tcPr>
          <w:tcW w:w="3070" w:type="dxa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>
            <w:rPr>
              <w:rFonts w:cs="Arial"/>
              <w:sz w:val="18"/>
            </w:rPr>
            <w:t>Stich-/Schnittverletzungen</w:t>
          </w:r>
        </w:p>
      </w:tc>
    </w:tr>
    <w:tr w:rsidR="00222760" w:rsidRPr="004B7A84" w:rsidTr="000F18D3">
      <w:tc>
        <w:tcPr>
          <w:tcW w:w="3070" w:type="dxa"/>
          <w:vMerge w:val="restart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E539FF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E539FF">
            <w:rPr>
              <w:b/>
              <w:noProof/>
              <w:sz w:val="18"/>
            </w:rPr>
            <w:t>2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222760" w:rsidRPr="004B7A84" w:rsidTr="000F18D3">
      <w:tc>
        <w:tcPr>
          <w:tcW w:w="3070" w:type="dxa"/>
          <w:vMerge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222760" w:rsidRPr="00C03F9F" w:rsidRDefault="0022276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222760" w:rsidRDefault="002227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60" w:rsidRDefault="00222760" w:rsidP="00222760">
      <w:pPr>
        <w:spacing w:after="0" w:line="240" w:lineRule="auto"/>
      </w:pPr>
      <w:r>
        <w:separator/>
      </w:r>
    </w:p>
  </w:footnote>
  <w:footnote w:type="continuationSeparator" w:id="0">
    <w:p w:rsidR="00222760" w:rsidRDefault="00222760" w:rsidP="0022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4"/>
      <w:gridCol w:w="2016"/>
    </w:tblGrid>
    <w:tr w:rsidR="00222760" w:rsidTr="000F18D3">
      <w:tc>
        <w:tcPr>
          <w:tcW w:w="7479" w:type="dxa"/>
          <w:vAlign w:val="center"/>
        </w:tcPr>
        <w:p w:rsidR="00222760" w:rsidRDefault="00222760" w:rsidP="000F18D3">
          <w:pPr>
            <w:pStyle w:val="Kopfzeile"/>
            <w:jc w:val="center"/>
          </w:pPr>
        </w:p>
      </w:tc>
      <w:tc>
        <w:tcPr>
          <w:tcW w:w="284" w:type="dxa"/>
          <w:vAlign w:val="center"/>
        </w:tcPr>
        <w:p w:rsidR="00222760" w:rsidRDefault="00222760" w:rsidP="000F18D3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222760" w:rsidRDefault="00222760" w:rsidP="000F18D3">
          <w:pPr>
            <w:pStyle w:val="Kopfzeile"/>
            <w:jc w:val="center"/>
          </w:pPr>
        </w:p>
      </w:tc>
    </w:tr>
  </w:tbl>
  <w:p w:rsidR="00222760" w:rsidRDefault="002227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4"/>
      <w:gridCol w:w="2016"/>
    </w:tblGrid>
    <w:tr w:rsidR="00222760" w:rsidTr="000F18D3">
      <w:tc>
        <w:tcPr>
          <w:tcW w:w="7479" w:type="dxa"/>
          <w:vAlign w:val="center"/>
        </w:tcPr>
        <w:p w:rsidR="00222760" w:rsidRDefault="00222760" w:rsidP="000F18D3">
          <w:pPr>
            <w:pStyle w:val="Kopfzeile"/>
            <w:jc w:val="center"/>
          </w:pPr>
        </w:p>
        <w:p w:rsidR="00222760" w:rsidRDefault="00222760" w:rsidP="000F18D3">
          <w:pPr>
            <w:contextualSpacing/>
            <w:rPr>
              <w:rFonts w:cs="Arial"/>
              <w:b/>
              <w:bCs/>
              <w:sz w:val="28"/>
              <w:szCs w:val="24"/>
            </w:rPr>
          </w:pPr>
          <w:r>
            <w:rPr>
              <w:rFonts w:cs="Arial"/>
              <w:b/>
              <w:bCs/>
              <w:sz w:val="28"/>
              <w:szCs w:val="24"/>
            </w:rPr>
            <w:t>Vorgehen nach Stich- und Schnittverletzungen</w:t>
          </w:r>
        </w:p>
        <w:p w:rsidR="00222760" w:rsidRPr="00BA2EDE" w:rsidRDefault="00222760" w:rsidP="000F18D3">
          <w:pPr>
            <w:contextualSpacing/>
            <w:rPr>
              <w:rFonts w:cs="Arial"/>
              <w:b/>
              <w:bCs/>
              <w:sz w:val="28"/>
              <w:szCs w:val="24"/>
            </w:rPr>
          </w:pPr>
          <w:r>
            <w:rPr>
              <w:rFonts w:cs="Arial"/>
              <w:b/>
              <w:bCs/>
              <w:sz w:val="28"/>
              <w:szCs w:val="24"/>
            </w:rPr>
            <w:t xml:space="preserve"> mit Blutkontamination</w:t>
          </w:r>
        </w:p>
        <w:p w:rsidR="00222760" w:rsidRDefault="00222760" w:rsidP="000F18D3">
          <w:pPr>
            <w:pStyle w:val="Kopfzeile"/>
            <w:jc w:val="center"/>
          </w:pPr>
        </w:p>
      </w:tc>
      <w:tc>
        <w:tcPr>
          <w:tcW w:w="284" w:type="dxa"/>
          <w:vAlign w:val="center"/>
        </w:tcPr>
        <w:p w:rsidR="00222760" w:rsidRDefault="00222760" w:rsidP="000F18D3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222760" w:rsidRDefault="00222760" w:rsidP="000F18D3">
          <w:pPr>
            <w:pStyle w:val="Kopfzeile"/>
            <w:jc w:val="center"/>
            <w:rPr>
              <w:b/>
              <w:color w:val="FF0000"/>
            </w:rPr>
          </w:pPr>
          <w:r w:rsidRPr="0089081D">
            <w:rPr>
              <w:b/>
              <w:color w:val="FF0000"/>
            </w:rPr>
            <w:t>PRAXISLOGO</w:t>
          </w:r>
        </w:p>
        <w:p w:rsidR="00222760" w:rsidRPr="0089081D" w:rsidRDefault="00222760" w:rsidP="000F18D3">
          <w:pPr>
            <w:pStyle w:val="Kopfzeil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(oder Stempel)</w:t>
          </w:r>
        </w:p>
        <w:p w:rsidR="00222760" w:rsidRDefault="00222760" w:rsidP="000F18D3">
          <w:pPr>
            <w:pStyle w:val="Kopfzeile"/>
            <w:jc w:val="center"/>
          </w:pPr>
          <w:r w:rsidRPr="0089081D">
            <w:rPr>
              <w:b/>
              <w:color w:val="FF0000"/>
            </w:rPr>
            <w:t>EINFÜGEN</w:t>
          </w:r>
        </w:p>
      </w:tc>
    </w:tr>
  </w:tbl>
  <w:p w:rsidR="00222760" w:rsidRDefault="002227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A54"/>
    <w:multiLevelType w:val="hybridMultilevel"/>
    <w:tmpl w:val="59C09ED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34C07"/>
    <w:multiLevelType w:val="hybridMultilevel"/>
    <w:tmpl w:val="C5BA2A6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9C4F25"/>
    <w:multiLevelType w:val="hybridMultilevel"/>
    <w:tmpl w:val="0B66BA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2A7D5A"/>
    <w:multiLevelType w:val="hybridMultilevel"/>
    <w:tmpl w:val="74C416A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354321"/>
    <w:multiLevelType w:val="hybridMultilevel"/>
    <w:tmpl w:val="366E74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C82E87"/>
    <w:multiLevelType w:val="hybridMultilevel"/>
    <w:tmpl w:val="4D2C01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207CBC"/>
    <w:multiLevelType w:val="hybridMultilevel"/>
    <w:tmpl w:val="FBA4807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587AB4"/>
    <w:multiLevelType w:val="hybridMultilevel"/>
    <w:tmpl w:val="422ACF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274ADD"/>
    <w:multiLevelType w:val="hybridMultilevel"/>
    <w:tmpl w:val="9408A1E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5F"/>
    <w:rsid w:val="000A56F6"/>
    <w:rsid w:val="001256D8"/>
    <w:rsid w:val="00187A37"/>
    <w:rsid w:val="00222760"/>
    <w:rsid w:val="00386B9E"/>
    <w:rsid w:val="00473F76"/>
    <w:rsid w:val="004A666C"/>
    <w:rsid w:val="00530E7D"/>
    <w:rsid w:val="006D4B63"/>
    <w:rsid w:val="007106E9"/>
    <w:rsid w:val="0078152D"/>
    <w:rsid w:val="00855354"/>
    <w:rsid w:val="009E2FBE"/>
    <w:rsid w:val="009F3881"/>
    <w:rsid w:val="00A6703D"/>
    <w:rsid w:val="00A82945"/>
    <w:rsid w:val="00B30E3E"/>
    <w:rsid w:val="00B400BC"/>
    <w:rsid w:val="00BF6AAF"/>
    <w:rsid w:val="00C26112"/>
    <w:rsid w:val="00CD2C70"/>
    <w:rsid w:val="00E539FF"/>
    <w:rsid w:val="00E5605F"/>
    <w:rsid w:val="00F462A4"/>
    <w:rsid w:val="00F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605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760"/>
  </w:style>
  <w:style w:type="paragraph" w:styleId="Fuzeile">
    <w:name w:val="footer"/>
    <w:basedOn w:val="Standard"/>
    <w:link w:val="FuzeileZchn"/>
    <w:uiPriority w:val="99"/>
    <w:unhideWhenUsed/>
    <w:rsid w:val="0022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605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760"/>
  </w:style>
  <w:style w:type="paragraph" w:styleId="Fuzeile">
    <w:name w:val="footer"/>
    <w:basedOn w:val="Standard"/>
    <w:link w:val="FuzeileZchn"/>
    <w:uiPriority w:val="99"/>
    <w:unhideWhenUsed/>
    <w:rsid w:val="0022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7232-6D57-4F78-8D2E-6B2C83AE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2</cp:revision>
  <cp:lastPrinted>2016-02-05T08:29:00Z</cp:lastPrinted>
  <dcterms:created xsi:type="dcterms:W3CDTF">2016-03-04T13:03:00Z</dcterms:created>
  <dcterms:modified xsi:type="dcterms:W3CDTF">2016-03-04T13:03:00Z</dcterms:modified>
</cp:coreProperties>
</file>